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63" w:rsidRPr="00AE1869" w:rsidRDefault="008B7963" w:rsidP="008B7963">
      <w:pPr>
        <w:jc w:val="center"/>
        <w:rPr>
          <w:rFonts w:ascii="Times New Roman" w:hAnsi="Times New Roman" w:cs="Times New Roman"/>
          <w:bCs/>
          <w:color w:val="000000" w:themeColor="text1"/>
          <w:sz w:val="24"/>
          <w:szCs w:val="24"/>
        </w:rPr>
      </w:pPr>
      <w:r w:rsidRPr="00AE1869">
        <w:rPr>
          <w:rStyle w:val="Strong"/>
          <w:rFonts w:ascii="Times New Roman" w:hAnsi="Times New Roman" w:cs="Times New Roman"/>
          <w:bCs w:val="0"/>
          <w:color w:val="000000" w:themeColor="text1"/>
          <w:sz w:val="24"/>
          <w:szCs w:val="24"/>
          <w:shd w:val="clear" w:color="auto" w:fill="FFFFFF"/>
        </w:rPr>
        <w:t>CERTIFICATE EXAM FOR SMALL FINANCE BANKS</w:t>
      </w:r>
    </w:p>
    <w:tbl>
      <w:tblPr>
        <w:tblStyle w:val="TableGrid"/>
        <w:tblW w:w="0" w:type="auto"/>
        <w:tblInd w:w="0" w:type="dxa"/>
        <w:tblLook w:val="04A0" w:firstRow="1" w:lastRow="0" w:firstColumn="1" w:lastColumn="0" w:noHBand="0" w:noVBand="1"/>
      </w:tblPr>
      <w:tblGrid>
        <w:gridCol w:w="988"/>
        <w:gridCol w:w="8028"/>
      </w:tblGrid>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eastAsia="Times New Roman" w:hAnsi="Times New Roman" w:cs="Times New Roman"/>
                <w:b/>
                <w:bCs/>
                <w:color w:val="000000" w:themeColor="text1"/>
                <w:sz w:val="24"/>
                <w:szCs w:val="24"/>
                <w:lang w:eastAsia="en-IN"/>
              </w:rPr>
              <w:t>Important Notifications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Inoperative Accounts /Unclaimed Deposits in Banks- Revised Instructions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Amendment to the Master Direction (MD) on KYC</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Review of Fixed Remuneration granted to Non-Executive Directors (NEDs)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Interest Equalization Scheme (IES) on Pre and Post Shipment Rupee Export Credit</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Direction – Reserve Bank of India (Filing of Supervisory Returns) Directions - 2024</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Direction – Reserve Bank of India (Bharat Bill Payment System) Directions, 2024</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Amendment to the Master Direction - Credit Card and Debit Card – Issuance and Conduct Directions, 2022</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Investments in Alternative Investment Funds (AIFs)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Direction – Scheme of Penalties for bank branches and Currency Chests for deficiency in rendering customer service to the members of public</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10</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Direction on Framework of incentives for Currency Distribution &amp; Exchange Scheme for bank branches including currency chests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11</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Direction on Penal Provisions in reporting of transactions / balances at Currency Chests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12</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Circular - Disbursement of Government Pension by Agency Banks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13</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Circular on Conduct of Government Business by Agency Banks - Payment of Agency Commission</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14</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Direction on Counterfeit Notes, 2024 – Detection, Reporting and Monitoring</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15</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Circular - Prudential norms on Income Recognition, Asset Classification and Provisioning pertaining to Advances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16</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Hedging of Gold Price Risk in Overseas Markets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17</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Key Facts Statement (KFS) for Loans &amp; Advances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18</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Master Circular - Credit facilities to Scheduled Castes (SCs) &amp; Scheduled Tribes (STs)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19</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Dealing in Rupee Interest Rate Derivative products - Small Finance Banks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20</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Voluntary transition of Small Finance Banks to Universal Banks</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21</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Fair Practices Code for Lenders – Charging of Interest</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22</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Amendment to Master Direction - Reserve Bank of India (Interest Rate on Deposits) Directions, 2016</w:t>
            </w:r>
          </w:p>
        </w:tc>
      </w:tr>
      <w:tr w:rsidR="00AE1869" w:rsidRPr="00AE1869" w:rsidTr="008B7963">
        <w:tc>
          <w:tcPr>
            <w:tcW w:w="988" w:type="dxa"/>
            <w:tcBorders>
              <w:top w:val="single" w:sz="4" w:space="0" w:color="auto"/>
              <w:left w:val="single" w:sz="4" w:space="0" w:color="auto"/>
              <w:bottom w:val="single" w:sz="4" w:space="0" w:color="auto"/>
              <w:right w:val="single" w:sz="4" w:space="0" w:color="auto"/>
            </w:tcBorders>
            <w:hideMark/>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23</w:t>
            </w:r>
          </w:p>
        </w:tc>
        <w:tc>
          <w:tcPr>
            <w:tcW w:w="8028" w:type="dxa"/>
            <w:tcBorders>
              <w:top w:val="single" w:sz="4" w:space="0" w:color="auto"/>
              <w:left w:val="single" w:sz="4" w:space="0" w:color="auto"/>
              <w:bottom w:val="single" w:sz="4" w:space="0" w:color="auto"/>
              <w:right w:val="single" w:sz="4" w:space="0" w:color="auto"/>
            </w:tcBorders>
          </w:tcPr>
          <w:p w:rsidR="008B7963" w:rsidRPr="00AE1869" w:rsidRDefault="008B7963">
            <w:pPr>
              <w:spacing w:line="240" w:lineRule="auto"/>
              <w:rPr>
                <w:rFonts w:ascii="Times New Roman" w:hAnsi="Times New Roman" w:cs="Times New Roman"/>
                <w:color w:val="000000" w:themeColor="text1"/>
                <w:sz w:val="24"/>
                <w:szCs w:val="24"/>
              </w:rPr>
            </w:pPr>
            <w:r w:rsidRPr="00AE1869">
              <w:rPr>
                <w:rFonts w:ascii="Times New Roman" w:hAnsi="Times New Roman" w:cs="Times New Roman"/>
                <w:color w:val="000000" w:themeColor="text1"/>
                <w:sz w:val="24"/>
                <w:szCs w:val="24"/>
              </w:rPr>
              <w:t>Priority Sector Lending – Amendments to the Master Directions</w:t>
            </w:r>
          </w:p>
        </w:tc>
      </w:tr>
    </w:tbl>
    <w:p w:rsidR="00F32AEA" w:rsidRDefault="009978EF"/>
    <w:p w:rsidR="006E7AB9" w:rsidRDefault="006E7AB9"/>
    <w:p w:rsidR="006E7AB9" w:rsidRDefault="006E7AB9"/>
    <w:p w:rsidR="006E7AB9" w:rsidRDefault="006E7AB9"/>
    <w:p w:rsidR="006E7AB9" w:rsidRDefault="006E7AB9"/>
    <w:p w:rsidR="006E7AB9" w:rsidRDefault="006E7AB9"/>
    <w:p w:rsidR="006E7AB9" w:rsidRDefault="006E7AB9"/>
    <w:p w:rsidR="006E7AB9" w:rsidRPr="006E7AB9" w:rsidRDefault="006E7AB9" w:rsidP="006E7AB9">
      <w:pPr>
        <w:pStyle w:val="head"/>
        <w:jc w:val="both"/>
        <w:rPr>
          <w:rFonts w:ascii="Arial" w:hAnsi="Arial" w:cs="Arial"/>
          <w:b/>
          <w:bCs/>
          <w:color w:val="000000"/>
          <w:sz w:val="20"/>
          <w:szCs w:val="20"/>
        </w:rPr>
      </w:pPr>
      <w:r>
        <w:rPr>
          <w:rFonts w:ascii="Arial" w:hAnsi="Arial" w:cs="Arial"/>
          <w:b/>
          <w:bCs/>
          <w:color w:val="000000"/>
          <w:sz w:val="20"/>
          <w:szCs w:val="20"/>
        </w:rPr>
        <w:lastRenderedPageBreak/>
        <w:t>Inoperative Accounts /Unclaimed Deposits in Banks- Revised Instructions</w:t>
      </w:r>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RBI/2023-24/105</w:t>
      </w:r>
      <w:r>
        <w:rPr>
          <w:rFonts w:ascii="Arial" w:hAnsi="Arial" w:cs="Arial"/>
          <w:color w:val="000000"/>
          <w:sz w:val="20"/>
          <w:szCs w:val="20"/>
        </w:rPr>
        <w:br/>
        <w:t>DOR.SOG (LEG).REC/64/09.08.024/2023-24</w:t>
      </w:r>
    </w:p>
    <w:p w:rsidR="006E7AB9" w:rsidRDefault="006E7AB9" w:rsidP="006E7AB9">
      <w:pPr>
        <w:pStyle w:val="NormalWeb"/>
        <w:jc w:val="right"/>
        <w:rPr>
          <w:rFonts w:ascii="Arial" w:hAnsi="Arial" w:cs="Arial"/>
          <w:color w:val="000000"/>
          <w:sz w:val="20"/>
          <w:szCs w:val="20"/>
        </w:rPr>
      </w:pPr>
      <w:r>
        <w:rPr>
          <w:rFonts w:ascii="Arial" w:hAnsi="Arial" w:cs="Arial"/>
          <w:color w:val="000000"/>
          <w:sz w:val="20"/>
          <w:szCs w:val="20"/>
        </w:rPr>
        <w:t>January 1, 2024</w:t>
      </w:r>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Madam / Dear Sir</w:t>
      </w:r>
    </w:p>
    <w:p w:rsidR="006E7AB9" w:rsidRDefault="006E7AB9" w:rsidP="006E7AB9">
      <w:pPr>
        <w:pStyle w:val="head"/>
        <w:jc w:val="both"/>
        <w:rPr>
          <w:rFonts w:ascii="Arial" w:hAnsi="Arial" w:cs="Arial"/>
          <w:b/>
          <w:bCs/>
          <w:color w:val="000000"/>
          <w:sz w:val="20"/>
          <w:szCs w:val="20"/>
        </w:rPr>
      </w:pPr>
      <w:r>
        <w:rPr>
          <w:rFonts w:ascii="Arial" w:hAnsi="Arial" w:cs="Arial"/>
          <w:b/>
          <w:bCs/>
          <w:color w:val="000000"/>
          <w:sz w:val="20"/>
          <w:szCs w:val="20"/>
        </w:rPr>
        <w:t>Inoperative Accounts /Unclaimed Deposits in Banks- Revised Instructions</w:t>
      </w:r>
    </w:p>
    <w:p w:rsidR="006E7AB9" w:rsidRDefault="006E7AB9" w:rsidP="006E7AB9">
      <w:pPr>
        <w:pStyle w:val="NormalWeb"/>
        <w:jc w:val="both"/>
        <w:rPr>
          <w:rFonts w:ascii="Arial" w:hAnsi="Arial" w:cs="Arial"/>
          <w:color w:val="000000"/>
          <w:sz w:val="20"/>
          <w:szCs w:val="20"/>
        </w:rPr>
      </w:pPr>
      <w:proofErr w:type="gramStart"/>
      <w:r>
        <w:rPr>
          <w:rFonts w:ascii="Arial" w:hAnsi="Arial" w:cs="Arial"/>
          <w:color w:val="000000"/>
          <w:sz w:val="20"/>
          <w:szCs w:val="20"/>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 xml:space="preserve">2. As a measure to assist the account holders and with a view to consolidating and rationalising the extant instructions on inoperative accounts, a review </w:t>
      </w:r>
      <w:proofErr w:type="gramStart"/>
      <w:r>
        <w:rPr>
          <w:rFonts w:ascii="Arial" w:hAnsi="Arial" w:cs="Arial"/>
          <w:color w:val="000000"/>
          <w:sz w:val="20"/>
          <w:szCs w:val="20"/>
        </w:rPr>
        <w:t>was carried out</w:t>
      </w:r>
      <w:proofErr w:type="gramEnd"/>
      <w:r>
        <w:rPr>
          <w:rFonts w:ascii="Arial" w:hAnsi="Arial" w:cs="Arial"/>
          <w:color w:val="000000"/>
          <w:sz w:val="20"/>
          <w:szCs w:val="20"/>
        </w:rPr>
        <w:t xml:space="preserve"> in consultation with all stakeholders. </w:t>
      </w:r>
      <w:proofErr w:type="gramStart"/>
      <w:r>
        <w:rPr>
          <w:rFonts w:ascii="Arial" w:hAnsi="Arial" w:cs="Arial"/>
          <w:color w:val="000000"/>
          <w:sz w:val="20"/>
          <w:szCs w:val="20"/>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Pr>
          <w:rFonts w:ascii="Arial" w:hAnsi="Arial" w:cs="Arial"/>
          <w:color w:val="000000"/>
          <w:sz w:val="20"/>
          <w:szCs w:val="20"/>
        </w:rPr>
        <w:t xml:space="preserve"> These instructions (provided in the </w:t>
      </w:r>
      <w:hyperlink r:id="rId5" w:anchor="AS" w:history="1">
        <w:r>
          <w:rPr>
            <w:rStyle w:val="Hyperlink"/>
            <w:rFonts w:ascii="Arial" w:hAnsi="Arial" w:cs="Arial"/>
            <w:sz w:val="20"/>
            <w:szCs w:val="20"/>
          </w:rPr>
          <w:t>Annex</w:t>
        </w:r>
      </w:hyperlink>
      <w:r>
        <w:rPr>
          <w:rFonts w:ascii="Arial" w:hAnsi="Arial" w:cs="Arial"/>
          <w:color w:val="000000"/>
          <w:sz w:val="20"/>
          <w:szCs w:val="20"/>
        </w:rPr>
        <w:t xml:space="preserve">) </w:t>
      </w:r>
      <w:proofErr w:type="gramStart"/>
      <w:r>
        <w:rPr>
          <w:rFonts w:ascii="Arial" w:hAnsi="Arial" w:cs="Arial"/>
          <w:color w:val="000000"/>
          <w:sz w:val="20"/>
          <w:szCs w:val="20"/>
        </w:rPr>
        <w:t>are expected</w:t>
      </w:r>
      <w:proofErr w:type="gramEnd"/>
      <w:r>
        <w:rPr>
          <w:rFonts w:ascii="Arial" w:hAnsi="Arial" w:cs="Arial"/>
          <w:color w:val="000000"/>
          <w:sz w:val="20"/>
          <w:szCs w:val="20"/>
        </w:rPr>
        <w:t xml:space="preserve"> to complement the ongoing efforts and initiatives taken by banks and the Reserve Bank, to reduce the quantum of unclaimed deposits in the banking system and return such deposits to their rightful owners/ claimants.</w:t>
      </w:r>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(including RRBs) and all Co-operative Banks.</w:t>
      </w:r>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5. The revised instructions shall come into effect from </w:t>
      </w:r>
      <w:r>
        <w:rPr>
          <w:rStyle w:val="head1"/>
          <w:rFonts w:ascii="Arial" w:hAnsi="Arial" w:cs="Arial"/>
          <w:b/>
          <w:bCs/>
          <w:color w:val="000000"/>
          <w:sz w:val="20"/>
          <w:szCs w:val="20"/>
        </w:rPr>
        <w:t>April 1, 2024</w:t>
      </w:r>
      <w:r>
        <w:rPr>
          <w:rFonts w:ascii="Arial" w:hAnsi="Arial" w:cs="Arial"/>
          <w:color w:val="000000"/>
          <w:sz w:val="20"/>
          <w:szCs w:val="20"/>
        </w:rPr>
        <w:t>.</w:t>
      </w:r>
    </w:p>
    <w:p w:rsidR="006E7AB9" w:rsidRDefault="006E7AB9" w:rsidP="006E7AB9">
      <w:pPr>
        <w:pStyle w:val="NormalWeb"/>
        <w:jc w:val="both"/>
        <w:rPr>
          <w:rFonts w:ascii="Arial" w:hAnsi="Arial" w:cs="Arial"/>
          <w:color w:val="000000"/>
          <w:sz w:val="20"/>
          <w:szCs w:val="20"/>
        </w:rPr>
      </w:pPr>
      <w:r>
        <w:rPr>
          <w:rFonts w:ascii="Arial" w:hAnsi="Arial" w:cs="Arial"/>
          <w:color w:val="000000"/>
          <w:sz w:val="20"/>
          <w:szCs w:val="20"/>
        </w:rPr>
        <w:t>Yours faithfully</w:t>
      </w:r>
    </w:p>
    <w:p w:rsidR="006E7AB9" w:rsidRDefault="006E7AB9" w:rsidP="006E7AB9">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6E7AB9" w:rsidRDefault="006E7AB9">
      <w:r w:rsidRPr="006E7AB9">
        <w:t>For more details, kindly refer:</w:t>
      </w:r>
    </w:p>
    <w:p w:rsidR="006E7AB9" w:rsidRDefault="006E7AB9">
      <w:hyperlink r:id="rId6" w:history="1">
        <w:r w:rsidRPr="00332F6B">
          <w:rPr>
            <w:rStyle w:val="Hyperlink"/>
          </w:rPr>
          <w:t>https://www.rbi.org.in/Scripts/NotificationUser.aspx?Id=12589&amp;Mode=0</w:t>
        </w:r>
      </w:hyperlink>
      <w:r>
        <w:t xml:space="preserve"> </w:t>
      </w:r>
    </w:p>
    <w:p w:rsidR="00FF6B51" w:rsidRDefault="00FF6B51"/>
    <w:p w:rsidR="00FF6B51" w:rsidRDefault="00FF6B51"/>
    <w:p w:rsidR="00FF6B51" w:rsidRDefault="00FF6B51"/>
    <w:p w:rsidR="00FF6B51" w:rsidRDefault="00FF6B51"/>
    <w:p w:rsidR="00FF6B51" w:rsidRDefault="00FF6B51"/>
    <w:p w:rsidR="00FF6B51" w:rsidRDefault="00FF6B51"/>
    <w:p w:rsidR="00FF6B51" w:rsidRPr="00FF6B51" w:rsidRDefault="00FF6B51" w:rsidP="00FF6B51">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RBI/2023-24/107</w:t>
      </w:r>
      <w:r>
        <w:rPr>
          <w:rFonts w:ascii="Arial" w:hAnsi="Arial" w:cs="Arial"/>
          <w:color w:val="000000"/>
          <w:sz w:val="20"/>
          <w:szCs w:val="20"/>
        </w:rPr>
        <w:br/>
        <w:t>DOR.AML.REC.66/14.01.001/2023-24</w:t>
      </w:r>
    </w:p>
    <w:p w:rsidR="00FF6B51" w:rsidRDefault="00FF6B51" w:rsidP="00FF6B51">
      <w:pPr>
        <w:pStyle w:val="NormalWeb"/>
        <w:jc w:val="right"/>
        <w:rPr>
          <w:rFonts w:ascii="Arial" w:hAnsi="Arial" w:cs="Arial"/>
          <w:color w:val="000000"/>
          <w:sz w:val="20"/>
          <w:szCs w:val="20"/>
        </w:rPr>
      </w:pPr>
      <w:r>
        <w:rPr>
          <w:rFonts w:ascii="Arial" w:hAnsi="Arial" w:cs="Arial"/>
          <w:color w:val="000000"/>
          <w:sz w:val="20"/>
          <w:szCs w:val="20"/>
        </w:rPr>
        <w:t>January 04, 2024</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Dear Sir/Madam,</w:t>
      </w:r>
    </w:p>
    <w:p w:rsidR="00FF6B51" w:rsidRDefault="00FF6B51" w:rsidP="00FF6B51">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 xml:space="preserve">2. In the extant Direction, the definition of Politically Exposed Persons (PEPs) </w:t>
      </w:r>
      <w:proofErr w:type="gramStart"/>
      <w:r>
        <w:rPr>
          <w:rFonts w:ascii="Arial" w:hAnsi="Arial" w:cs="Arial"/>
          <w:color w:val="000000"/>
          <w:sz w:val="20"/>
          <w:szCs w:val="20"/>
        </w:rPr>
        <w:t>is provided</w:t>
      </w:r>
      <w:proofErr w:type="gramEnd"/>
      <w:r>
        <w:rPr>
          <w:rFonts w:ascii="Arial" w:hAnsi="Arial" w:cs="Arial"/>
          <w:color w:val="000000"/>
          <w:sz w:val="20"/>
          <w:szCs w:val="20"/>
        </w:rPr>
        <w:t xml:space="preserve"> in sub-clause (xvii) of clause (a) of Section 3 of the MD on KYC. However, in order to provide better clarity,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include the definition of PEPs as an explanation to Section 41 of the Master Direction as under:</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“Explanation: For the purpose of this Section, “Politically Exposed Persons” (PEPs) are individuals who are or have been entrusted with prominent public functions </w:t>
      </w:r>
      <w:r>
        <w:rPr>
          <w:rStyle w:val="head1"/>
          <w:rFonts w:ascii="Arial" w:hAnsi="Arial" w:cs="Arial"/>
          <w:b/>
          <w:bCs/>
          <w:color w:val="000000"/>
          <w:sz w:val="20"/>
          <w:szCs w:val="20"/>
        </w:rPr>
        <w:t>by a foreign country</w:t>
      </w:r>
      <w:r>
        <w:rPr>
          <w:rFonts w:ascii="Arial" w:hAnsi="Arial" w:cs="Arial"/>
          <w:color w:val="000000"/>
          <w:sz w:val="20"/>
          <w:szCs w:val="20"/>
        </w:rPr>
        <w:t>, including the Heads of States/Governments, senior politicians, senior government or judicial or military officers, senior executives of state-owned corporations and important political party officials.”</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 xml:space="preserve">3. Consequently, the sub-clause (xvii) of clause (a) of Section 3 of the above quoted Master Direction </w:t>
      </w:r>
      <w:proofErr w:type="gramStart"/>
      <w:r>
        <w:rPr>
          <w:rFonts w:ascii="Arial" w:hAnsi="Arial" w:cs="Arial"/>
          <w:color w:val="000000"/>
          <w:sz w:val="20"/>
          <w:szCs w:val="20"/>
        </w:rPr>
        <w:t>has been removed</w:t>
      </w:r>
      <w:proofErr w:type="gramEnd"/>
      <w:r>
        <w:rPr>
          <w:rFonts w:ascii="Arial" w:hAnsi="Arial" w:cs="Arial"/>
          <w:color w:val="000000"/>
          <w:sz w:val="20"/>
          <w:szCs w:val="20"/>
        </w:rPr>
        <w:t>. The relevant Sections of the </w:t>
      </w:r>
      <w:hyperlink r:id="rId8" w:tgtFrame="_blank" w:history="1">
        <w:r>
          <w:rPr>
            <w:rStyle w:val="Hyperlink"/>
            <w:rFonts w:ascii="Arial" w:hAnsi="Arial" w:cs="Arial"/>
            <w:sz w:val="20"/>
            <w:szCs w:val="20"/>
          </w:rPr>
          <w:t>MD on KYC</w:t>
        </w:r>
      </w:hyperlink>
      <w:r>
        <w:rPr>
          <w:rFonts w:ascii="Arial" w:hAnsi="Arial" w:cs="Arial"/>
          <w:color w:val="000000"/>
          <w:sz w:val="20"/>
          <w:szCs w:val="20"/>
        </w:rPr>
        <w:t> </w:t>
      </w:r>
      <w:proofErr w:type="gramStart"/>
      <w:r>
        <w:rPr>
          <w:rFonts w:ascii="Arial" w:hAnsi="Arial" w:cs="Arial"/>
          <w:color w:val="000000"/>
          <w:sz w:val="20"/>
          <w:szCs w:val="20"/>
        </w:rPr>
        <w:t>are hereby amended</w:t>
      </w:r>
      <w:proofErr w:type="gramEnd"/>
      <w:r>
        <w:rPr>
          <w:rFonts w:ascii="Arial" w:hAnsi="Arial" w:cs="Arial"/>
          <w:color w:val="000000"/>
          <w:sz w:val="20"/>
          <w:szCs w:val="20"/>
        </w:rPr>
        <w:t xml:space="preserve"> to reflect the changes as mentioned above.</w:t>
      </w:r>
    </w:p>
    <w:p w:rsidR="00FF6B51" w:rsidRDefault="00FF6B51" w:rsidP="00FF6B51">
      <w:pPr>
        <w:pStyle w:val="NormalWeb"/>
        <w:jc w:val="both"/>
        <w:rPr>
          <w:rFonts w:ascii="Arial" w:hAnsi="Arial" w:cs="Arial"/>
          <w:color w:val="000000"/>
          <w:sz w:val="20"/>
          <w:szCs w:val="20"/>
        </w:rPr>
      </w:pPr>
      <w:r>
        <w:rPr>
          <w:rFonts w:ascii="Arial" w:hAnsi="Arial" w:cs="Arial"/>
          <w:color w:val="000000"/>
          <w:sz w:val="20"/>
          <w:szCs w:val="20"/>
        </w:rPr>
        <w:t>Yours faithfully,</w:t>
      </w:r>
    </w:p>
    <w:p w:rsidR="00FF6B51" w:rsidRDefault="00FF6B51" w:rsidP="00FF6B5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Saidutta</w:t>
      </w:r>
      <w:proofErr w:type="spellEnd"/>
      <w:r>
        <w:rPr>
          <w:rFonts w:ascii="Arial" w:hAnsi="Arial" w:cs="Arial"/>
          <w:color w:val="000000"/>
          <w:sz w:val="20"/>
          <w:szCs w:val="20"/>
        </w:rPr>
        <w:t xml:space="preserve"> </w:t>
      </w:r>
      <w:proofErr w:type="spellStart"/>
      <w:r>
        <w:rPr>
          <w:rFonts w:ascii="Arial" w:hAnsi="Arial" w:cs="Arial"/>
          <w:color w:val="000000"/>
          <w:sz w:val="20"/>
          <w:szCs w:val="20"/>
        </w:rPr>
        <w:t>Sangram</w:t>
      </w:r>
      <w:proofErr w:type="spellEnd"/>
      <w:r>
        <w:rPr>
          <w:rFonts w:ascii="Arial" w:hAnsi="Arial" w:cs="Arial"/>
          <w:color w:val="000000"/>
          <w:sz w:val="20"/>
          <w:szCs w:val="20"/>
        </w:rPr>
        <w:t xml:space="preserve"> </w:t>
      </w:r>
      <w:proofErr w:type="spellStart"/>
      <w:r>
        <w:rPr>
          <w:rFonts w:ascii="Arial" w:hAnsi="Arial" w:cs="Arial"/>
          <w:color w:val="000000"/>
          <w:sz w:val="20"/>
          <w:szCs w:val="20"/>
        </w:rPr>
        <w:t>Keshari</w:t>
      </w:r>
      <w:proofErr w:type="spellEnd"/>
      <w:r>
        <w:rPr>
          <w:rFonts w:ascii="Arial" w:hAnsi="Arial" w:cs="Arial"/>
          <w:color w:val="000000"/>
          <w:sz w:val="20"/>
          <w:szCs w:val="20"/>
        </w:rPr>
        <w:t xml:space="preserve"> Pradhan)</w:t>
      </w:r>
      <w:r>
        <w:rPr>
          <w:rFonts w:ascii="Arial" w:hAnsi="Arial" w:cs="Arial"/>
          <w:color w:val="000000"/>
          <w:sz w:val="20"/>
          <w:szCs w:val="20"/>
        </w:rPr>
        <w:br/>
        <w:t>General Manager</w:t>
      </w:r>
    </w:p>
    <w:p w:rsidR="00FF6B51" w:rsidRDefault="00FF6B51">
      <w:r w:rsidRPr="00FF6B51">
        <w:t>For more details, kindly refer:</w:t>
      </w:r>
    </w:p>
    <w:p w:rsidR="00FF6B51" w:rsidRDefault="00FF6B51">
      <w:hyperlink r:id="rId9" w:history="1">
        <w:r w:rsidRPr="00332F6B">
          <w:rPr>
            <w:rStyle w:val="Hyperlink"/>
          </w:rPr>
          <w:t>https://www.rbi.org.in/Scripts/NotificationUser.aspx?Id=12593&amp;Mode=0</w:t>
        </w:r>
      </w:hyperlink>
      <w:r>
        <w:t xml:space="preserve"> </w:t>
      </w:r>
    </w:p>
    <w:p w:rsidR="00CD5827" w:rsidRDefault="00CD5827"/>
    <w:p w:rsidR="00CD5827" w:rsidRDefault="00CD5827"/>
    <w:p w:rsidR="00CD5827" w:rsidRDefault="00CD5827"/>
    <w:p w:rsidR="00CD5827" w:rsidRDefault="00CD5827"/>
    <w:p w:rsidR="00CD5827" w:rsidRDefault="00CD5827"/>
    <w:p w:rsidR="00CD5827" w:rsidRDefault="00CD5827"/>
    <w:p w:rsidR="00CD5827" w:rsidRDefault="00CD5827"/>
    <w:p w:rsidR="00CD5827" w:rsidRDefault="00CD5827"/>
    <w:p w:rsidR="00CD5827" w:rsidRDefault="00CD5827"/>
    <w:p w:rsidR="00CD5827" w:rsidRPr="00CD5827" w:rsidRDefault="00CD5827" w:rsidP="00CD5827">
      <w:pPr>
        <w:pStyle w:val="head"/>
        <w:jc w:val="both"/>
        <w:rPr>
          <w:rFonts w:ascii="Arial" w:hAnsi="Arial" w:cs="Arial"/>
          <w:b/>
          <w:bCs/>
          <w:color w:val="000000"/>
          <w:sz w:val="20"/>
          <w:szCs w:val="20"/>
        </w:rPr>
      </w:pPr>
      <w:r>
        <w:rPr>
          <w:rFonts w:ascii="Arial" w:hAnsi="Arial" w:cs="Arial"/>
          <w:b/>
          <w:bCs/>
          <w:color w:val="000000"/>
          <w:sz w:val="20"/>
          <w:szCs w:val="20"/>
        </w:rPr>
        <w:lastRenderedPageBreak/>
        <w:t>Review of Fixed Remuneration granted to Non-Executive Directors (NEDs)</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RBI/2023-24/121</w:t>
      </w:r>
      <w:r>
        <w:rPr>
          <w:rFonts w:ascii="Arial" w:hAnsi="Arial" w:cs="Arial"/>
          <w:color w:val="000000"/>
          <w:sz w:val="20"/>
          <w:szCs w:val="20"/>
        </w:rPr>
        <w:br/>
        <w:t>DoR.HGG.GOV.REC.75/29.67.001/2023-24</w:t>
      </w:r>
    </w:p>
    <w:p w:rsidR="00CD5827" w:rsidRDefault="00CD5827" w:rsidP="00CD5827">
      <w:pPr>
        <w:pStyle w:val="NormalWeb"/>
        <w:jc w:val="right"/>
        <w:rPr>
          <w:rFonts w:ascii="Arial" w:hAnsi="Arial" w:cs="Arial"/>
          <w:color w:val="000000"/>
          <w:sz w:val="20"/>
          <w:szCs w:val="20"/>
        </w:rPr>
      </w:pPr>
      <w:r>
        <w:rPr>
          <w:rFonts w:ascii="Arial" w:hAnsi="Arial" w:cs="Arial"/>
          <w:color w:val="000000"/>
          <w:sz w:val="20"/>
          <w:szCs w:val="20"/>
        </w:rPr>
        <w:t>February 9, 2024</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Dear Sir/ Madam</w:t>
      </w:r>
    </w:p>
    <w:p w:rsidR="00CD5827" w:rsidRDefault="00CD5827" w:rsidP="00CD5827">
      <w:pPr>
        <w:pStyle w:val="head"/>
        <w:jc w:val="both"/>
        <w:rPr>
          <w:rFonts w:ascii="Arial" w:hAnsi="Arial" w:cs="Arial"/>
          <w:b/>
          <w:bCs/>
          <w:color w:val="000000"/>
          <w:sz w:val="20"/>
          <w:szCs w:val="20"/>
        </w:rPr>
      </w:pPr>
      <w:r>
        <w:rPr>
          <w:rFonts w:ascii="Arial" w:hAnsi="Arial" w:cs="Arial"/>
          <w:b/>
          <w:bCs/>
          <w:color w:val="000000"/>
          <w:sz w:val="20"/>
          <w:szCs w:val="20"/>
        </w:rPr>
        <w:t>Review of Fixed Remuneration granted to Non-Executive Directors (NEDs)</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Please refer to paragraph 9 of circular dated April 26, 2021 (</w:t>
      </w:r>
      <w:hyperlink r:id="rId10" w:tgtFrame="_blank" w:history="1">
        <w:r>
          <w:rPr>
            <w:rStyle w:val="Hyperlink"/>
            <w:rFonts w:ascii="Arial" w:hAnsi="Arial" w:cs="Arial"/>
            <w:sz w:val="20"/>
            <w:szCs w:val="20"/>
          </w:rPr>
          <w:t>Corporate Governance in Banks - Appointment of Directors and Constitution of Committees of the Board</w:t>
        </w:r>
      </w:hyperlink>
      <w:r>
        <w:rPr>
          <w:rFonts w:ascii="Arial" w:hAnsi="Arial" w:cs="Arial"/>
          <w:color w:val="000000"/>
          <w:sz w:val="20"/>
          <w:szCs w:val="20"/>
        </w:rPr>
        <w:t xml:space="preserve">) as per which ceiling of ₹20 lakh per annum </w:t>
      </w:r>
      <w:proofErr w:type="gramStart"/>
      <w:r>
        <w:rPr>
          <w:rFonts w:ascii="Arial" w:hAnsi="Arial" w:cs="Arial"/>
          <w:color w:val="000000"/>
          <w:sz w:val="20"/>
          <w:szCs w:val="20"/>
        </w:rPr>
        <w:t>was specified</w:t>
      </w:r>
      <w:proofErr w:type="gramEnd"/>
      <w:r>
        <w:rPr>
          <w:rFonts w:ascii="Arial" w:hAnsi="Arial" w:cs="Arial"/>
          <w:color w:val="000000"/>
          <w:sz w:val="20"/>
          <w:szCs w:val="20"/>
        </w:rPr>
        <w:t xml:space="preserve"> in respect of remuneration of Non-Executive Directors (NEDs), other than the Chair of the Board.</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2. Considering the crucial role of NEDs in efficient functioning of bank Boards and its various Committees and in order to further enable the banks to sufficiently attract qualified competent individuals on their Boards, it has been decided to revise the aforementioned ceiling to ₹30 lakh per annum.</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3. The banks are required to have suitable criteria for granting fixed remuneration to its NEDs, with the approval of its Board before any review of the extant remuneration. The Board of the bank may fix a lower amount within the ceiling limit of ₹30 lakh per annum depending upon the size of the bank, experience of the NED and other relevant factors.</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4. As hitherto, private sector banks would be required to obtain regulatory approval regarding remuneration to Part-time Chairman in terms of Section 10B(1A)(</w:t>
      </w:r>
      <w:proofErr w:type="spellStart"/>
      <w:r>
        <w:rPr>
          <w:rFonts w:ascii="Arial" w:hAnsi="Arial" w:cs="Arial"/>
          <w:color w:val="000000"/>
          <w:sz w:val="20"/>
          <w:szCs w:val="20"/>
        </w:rPr>
        <w:t>i</w:t>
      </w:r>
      <w:proofErr w:type="spellEnd"/>
      <w:r>
        <w:rPr>
          <w:rFonts w:ascii="Arial" w:hAnsi="Arial" w:cs="Arial"/>
          <w:color w:val="000000"/>
          <w:sz w:val="20"/>
          <w:szCs w:val="20"/>
        </w:rPr>
        <w:t>) and 35B of the Banking Regulation Act, 1949.</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5. Banks are required to make disclosure on remuneration paid to the directors on an annual basis at a minimum, in their Annual Financial Statements.</w:t>
      </w:r>
    </w:p>
    <w:p w:rsidR="00CD5827" w:rsidRDefault="00CD5827" w:rsidP="00CD5827">
      <w:pPr>
        <w:pStyle w:val="head"/>
        <w:jc w:val="both"/>
        <w:rPr>
          <w:rFonts w:ascii="Arial" w:hAnsi="Arial" w:cs="Arial"/>
          <w:b/>
          <w:bCs/>
          <w:color w:val="000000"/>
          <w:sz w:val="20"/>
          <w:szCs w:val="20"/>
        </w:rPr>
      </w:pPr>
      <w:r>
        <w:rPr>
          <w:rFonts w:ascii="Arial" w:hAnsi="Arial" w:cs="Arial"/>
          <w:b/>
          <w:bCs/>
          <w:color w:val="000000"/>
          <w:sz w:val="20"/>
          <w:szCs w:val="20"/>
        </w:rPr>
        <w:t>Applicability and Commencement</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 xml:space="preserve">6. The instructions would be applicable to all the Private Sector Banks including Small Finance Banks (SFBs) and Payment Banks (PBs) </w:t>
      </w:r>
      <w:proofErr w:type="gramStart"/>
      <w:r>
        <w:rPr>
          <w:rFonts w:ascii="Arial" w:hAnsi="Arial" w:cs="Arial"/>
          <w:color w:val="000000"/>
          <w:sz w:val="20"/>
          <w:szCs w:val="20"/>
        </w:rPr>
        <w:t>as also</w:t>
      </w:r>
      <w:proofErr w:type="gramEnd"/>
      <w:r>
        <w:rPr>
          <w:rFonts w:ascii="Arial" w:hAnsi="Arial" w:cs="Arial"/>
          <w:color w:val="000000"/>
          <w:sz w:val="20"/>
          <w:szCs w:val="20"/>
        </w:rPr>
        <w:t xml:space="preserve"> the wholly owned subsidiaries of Foreign Banks. The instructions would come into force with immediate effect.</w:t>
      </w:r>
    </w:p>
    <w:p w:rsidR="00CD5827" w:rsidRDefault="00CD5827" w:rsidP="00CD5827">
      <w:pPr>
        <w:pStyle w:val="head"/>
        <w:jc w:val="both"/>
        <w:rPr>
          <w:rFonts w:ascii="Arial" w:hAnsi="Arial" w:cs="Arial"/>
          <w:b/>
          <w:bCs/>
          <w:color w:val="000000"/>
          <w:sz w:val="20"/>
          <w:szCs w:val="20"/>
        </w:rPr>
      </w:pPr>
      <w:r>
        <w:rPr>
          <w:rFonts w:ascii="Arial" w:hAnsi="Arial" w:cs="Arial"/>
          <w:b/>
          <w:bCs/>
          <w:color w:val="000000"/>
          <w:sz w:val="20"/>
          <w:szCs w:val="20"/>
        </w:rPr>
        <w:t>Power exercised</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 xml:space="preserve">7. The instructions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powers conferred by Section 35B of the Banking Regulation Act, 1949.</w:t>
      </w:r>
    </w:p>
    <w:p w:rsidR="00CD5827" w:rsidRDefault="00CD5827" w:rsidP="00CD5827">
      <w:pPr>
        <w:pStyle w:val="head"/>
        <w:jc w:val="both"/>
        <w:rPr>
          <w:rFonts w:ascii="Arial" w:hAnsi="Arial" w:cs="Arial"/>
          <w:b/>
          <w:bCs/>
          <w:color w:val="000000"/>
          <w:sz w:val="20"/>
          <w:szCs w:val="20"/>
        </w:rPr>
      </w:pPr>
      <w:r>
        <w:rPr>
          <w:rFonts w:ascii="Arial" w:hAnsi="Arial" w:cs="Arial"/>
          <w:b/>
          <w:bCs/>
          <w:color w:val="000000"/>
          <w:sz w:val="20"/>
          <w:szCs w:val="20"/>
        </w:rPr>
        <w:t>Repeal</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8. The instructions on Guidelines on Compensation of Non-executive Directors of Private Sector Banks issued vide </w:t>
      </w:r>
      <w:hyperlink r:id="rId11" w:tgtFrame="_blank" w:history="1">
        <w:r>
          <w:rPr>
            <w:rStyle w:val="Hyperlink"/>
            <w:rFonts w:ascii="Arial" w:hAnsi="Arial" w:cs="Arial"/>
            <w:sz w:val="20"/>
            <w:szCs w:val="20"/>
          </w:rPr>
          <w:t>circular DBR.No.BC.97/29.67.001/2014-15 dated June 1, 2015</w:t>
        </w:r>
      </w:hyperlink>
      <w:r>
        <w:rPr>
          <w:rFonts w:ascii="Arial" w:hAnsi="Arial" w:cs="Arial"/>
          <w:color w:val="000000"/>
          <w:sz w:val="20"/>
          <w:szCs w:val="20"/>
        </w:rPr>
        <w:t> stand repealed.</w:t>
      </w:r>
    </w:p>
    <w:p w:rsidR="00CD5827" w:rsidRDefault="00CD5827" w:rsidP="00CD5827">
      <w:pPr>
        <w:pStyle w:val="NormalWeb"/>
        <w:jc w:val="both"/>
        <w:rPr>
          <w:rFonts w:ascii="Arial" w:hAnsi="Arial" w:cs="Arial"/>
          <w:color w:val="000000"/>
          <w:sz w:val="20"/>
          <w:szCs w:val="20"/>
        </w:rPr>
      </w:pPr>
      <w:r>
        <w:rPr>
          <w:rFonts w:ascii="Arial" w:hAnsi="Arial" w:cs="Arial"/>
          <w:color w:val="000000"/>
          <w:sz w:val="20"/>
          <w:szCs w:val="20"/>
        </w:rPr>
        <w:t>Yours faithfully</w:t>
      </w:r>
    </w:p>
    <w:p w:rsidR="00CD5827" w:rsidRDefault="00CD5827" w:rsidP="00CD582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Scenta</w:t>
      </w:r>
      <w:proofErr w:type="spellEnd"/>
      <w:r>
        <w:rPr>
          <w:rFonts w:ascii="Arial" w:hAnsi="Arial" w:cs="Arial"/>
          <w:color w:val="000000"/>
          <w:sz w:val="20"/>
          <w:szCs w:val="20"/>
        </w:rPr>
        <w:t xml:space="preserve"> Joy)</w:t>
      </w:r>
      <w:r>
        <w:rPr>
          <w:rFonts w:ascii="Arial" w:hAnsi="Arial" w:cs="Arial"/>
          <w:color w:val="000000"/>
          <w:sz w:val="20"/>
          <w:szCs w:val="20"/>
        </w:rPr>
        <w:br/>
        <w:t>Chief General Manager</w:t>
      </w:r>
    </w:p>
    <w:p w:rsidR="00CD5827" w:rsidRDefault="00CD5827" w:rsidP="00CD5827">
      <w:pPr>
        <w:pStyle w:val="NormalWeb"/>
        <w:rPr>
          <w:rFonts w:ascii="Arial" w:hAnsi="Arial" w:cs="Arial"/>
          <w:color w:val="000000"/>
          <w:sz w:val="20"/>
          <w:szCs w:val="20"/>
        </w:rPr>
      </w:pPr>
      <w:r w:rsidRPr="00CD5827">
        <w:rPr>
          <w:rFonts w:ascii="Arial" w:hAnsi="Arial" w:cs="Arial"/>
          <w:color w:val="000000"/>
          <w:sz w:val="20"/>
          <w:szCs w:val="20"/>
        </w:rPr>
        <w:t xml:space="preserve">For more details, kindly </w:t>
      </w:r>
      <w:proofErr w:type="gramStart"/>
      <w:r w:rsidRPr="00CD5827">
        <w:rPr>
          <w:rFonts w:ascii="Arial" w:hAnsi="Arial" w:cs="Arial"/>
          <w:color w:val="000000"/>
          <w:sz w:val="20"/>
          <w:szCs w:val="20"/>
        </w:rPr>
        <w:t>refer:</w:t>
      </w:r>
      <w:proofErr w:type="gramEnd"/>
      <w:r>
        <w:rPr>
          <w:rFonts w:ascii="Arial" w:hAnsi="Arial" w:cs="Arial"/>
          <w:color w:val="000000"/>
          <w:sz w:val="20"/>
          <w:szCs w:val="20"/>
        </w:rPr>
        <w:t xml:space="preserve"> </w:t>
      </w:r>
      <w:hyperlink r:id="rId12" w:history="1">
        <w:r w:rsidRPr="00332F6B">
          <w:rPr>
            <w:rStyle w:val="Hyperlink"/>
            <w:rFonts w:ascii="Arial" w:hAnsi="Arial" w:cs="Arial"/>
            <w:sz w:val="20"/>
            <w:szCs w:val="20"/>
          </w:rPr>
          <w:t>https://www.rbi.org.in/Scripts/NotificationUser.aspx?Id=12607&amp;Mode=0</w:t>
        </w:r>
      </w:hyperlink>
      <w:r>
        <w:rPr>
          <w:rFonts w:ascii="Arial" w:hAnsi="Arial" w:cs="Arial"/>
          <w:color w:val="000000"/>
          <w:sz w:val="20"/>
          <w:szCs w:val="20"/>
        </w:rPr>
        <w:t xml:space="preserve"> </w:t>
      </w:r>
    </w:p>
    <w:p w:rsidR="00FF4C58" w:rsidRPr="00FF4C58" w:rsidRDefault="00FF4C58" w:rsidP="00FF4C58">
      <w:pPr>
        <w:spacing w:before="100" w:beforeAutospacing="1" w:after="100" w:afterAutospacing="1" w:line="240" w:lineRule="auto"/>
        <w:jc w:val="both"/>
        <w:rPr>
          <w:rFonts w:ascii="Arial" w:eastAsia="Times New Roman" w:hAnsi="Arial" w:cs="Arial"/>
          <w:b/>
          <w:bCs/>
          <w:color w:val="000000"/>
          <w:sz w:val="20"/>
          <w:szCs w:val="20"/>
          <w:lang w:eastAsia="en-IN"/>
        </w:rPr>
      </w:pPr>
      <w:r w:rsidRPr="00FF4C58">
        <w:rPr>
          <w:rFonts w:ascii="Arial" w:eastAsia="Times New Roman" w:hAnsi="Arial" w:cs="Arial"/>
          <w:b/>
          <w:bCs/>
          <w:color w:val="000000"/>
          <w:sz w:val="20"/>
          <w:szCs w:val="20"/>
          <w:lang w:eastAsia="en-IN"/>
        </w:rPr>
        <w:lastRenderedPageBreak/>
        <w:t>Interest Equalization Scheme (IES) on Pre and Post Shipment Rupee Export Credit</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RBI/2023-24/124</w:t>
      </w:r>
      <w:r w:rsidRPr="00FF4C58">
        <w:rPr>
          <w:rFonts w:ascii="Arial" w:eastAsia="Times New Roman" w:hAnsi="Arial" w:cs="Arial"/>
          <w:color w:val="000000"/>
          <w:sz w:val="20"/>
          <w:szCs w:val="20"/>
          <w:lang w:eastAsia="en-IN"/>
        </w:rPr>
        <w:br/>
        <w:t>DOR.STR.REC.78/04.02.001/2023-24</w:t>
      </w:r>
    </w:p>
    <w:p w:rsidR="00FF4C58" w:rsidRPr="00FF4C58" w:rsidRDefault="00FF4C58" w:rsidP="00FF4C58">
      <w:pPr>
        <w:spacing w:before="100" w:beforeAutospacing="1" w:after="100" w:afterAutospacing="1" w:line="240" w:lineRule="auto"/>
        <w:jc w:val="right"/>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February 22, 2024</w:t>
      </w:r>
    </w:p>
    <w:p w:rsidR="00FF4C58" w:rsidRPr="00FF4C58" w:rsidRDefault="00FF4C58" w:rsidP="00FF4C58">
      <w:pPr>
        <w:spacing w:before="100" w:beforeAutospacing="1" w:after="100" w:afterAutospacing="1" w:line="240" w:lineRule="auto"/>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All Scheduled Commercial Banks (excluding RRBs)</w:t>
      </w:r>
      <w:proofErr w:type="gramStart"/>
      <w:r w:rsidRPr="00FF4C58">
        <w:rPr>
          <w:rFonts w:ascii="Arial" w:eastAsia="Times New Roman" w:hAnsi="Arial" w:cs="Arial"/>
          <w:color w:val="000000"/>
          <w:sz w:val="20"/>
          <w:szCs w:val="20"/>
          <w:lang w:eastAsia="en-IN"/>
        </w:rPr>
        <w:t>,</w:t>
      </w:r>
      <w:proofErr w:type="gramEnd"/>
      <w:r w:rsidRPr="00FF4C58">
        <w:rPr>
          <w:rFonts w:ascii="Arial" w:eastAsia="Times New Roman" w:hAnsi="Arial" w:cs="Arial"/>
          <w:color w:val="000000"/>
          <w:sz w:val="20"/>
          <w:szCs w:val="20"/>
          <w:lang w:eastAsia="en-IN"/>
        </w:rPr>
        <w:br/>
        <w:t>Primary (Urban) Cooperative Banks &amp; State Cooperative Banks (scheduled banks having AD category-I license), and</w:t>
      </w:r>
      <w:r w:rsidRPr="00FF4C58">
        <w:rPr>
          <w:rFonts w:ascii="Arial" w:eastAsia="Times New Roman" w:hAnsi="Arial" w:cs="Arial"/>
          <w:color w:val="000000"/>
          <w:sz w:val="20"/>
          <w:szCs w:val="20"/>
          <w:lang w:eastAsia="en-IN"/>
        </w:rPr>
        <w:br/>
        <w:t>Exim Bank</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Dear Sir / Madam,</w:t>
      </w:r>
    </w:p>
    <w:p w:rsidR="00FF4C58" w:rsidRPr="00FF4C58" w:rsidRDefault="00FF4C58" w:rsidP="00FF4C58">
      <w:pPr>
        <w:spacing w:before="100" w:beforeAutospacing="1" w:after="100" w:afterAutospacing="1" w:line="240" w:lineRule="auto"/>
        <w:jc w:val="both"/>
        <w:rPr>
          <w:rFonts w:ascii="Arial" w:eastAsia="Times New Roman" w:hAnsi="Arial" w:cs="Arial"/>
          <w:b/>
          <w:bCs/>
          <w:color w:val="000000"/>
          <w:sz w:val="20"/>
          <w:szCs w:val="20"/>
          <w:lang w:eastAsia="en-IN"/>
        </w:rPr>
      </w:pPr>
      <w:r w:rsidRPr="00FF4C58">
        <w:rPr>
          <w:rFonts w:ascii="Arial" w:eastAsia="Times New Roman" w:hAnsi="Arial" w:cs="Arial"/>
          <w:b/>
          <w:bCs/>
          <w:color w:val="000000"/>
          <w:sz w:val="20"/>
          <w:szCs w:val="20"/>
          <w:lang w:eastAsia="en-IN"/>
        </w:rPr>
        <w:t>Interest Equalization Scheme (IES) on Pre and Post Shipment Rupee Export Credit</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Please refer to the instructions issued vide </w:t>
      </w:r>
      <w:hyperlink r:id="rId13" w:tgtFrame="_blank" w:history="1">
        <w:r w:rsidRPr="00FF4C58">
          <w:rPr>
            <w:rFonts w:ascii="Arial" w:eastAsia="Times New Roman" w:hAnsi="Arial" w:cs="Arial"/>
            <w:color w:val="0000FF"/>
            <w:sz w:val="20"/>
            <w:szCs w:val="20"/>
            <w:u w:val="single"/>
            <w:lang w:eastAsia="en-IN"/>
          </w:rPr>
          <w:t>circulars No. DOR.STR.REC.93/04.02.001/2021-22 dated March 8, 2022</w:t>
        </w:r>
      </w:hyperlink>
      <w:r w:rsidRPr="00FF4C58">
        <w:rPr>
          <w:rFonts w:ascii="Arial" w:eastAsia="Times New Roman" w:hAnsi="Arial" w:cs="Arial"/>
          <w:color w:val="000000"/>
          <w:sz w:val="20"/>
          <w:szCs w:val="20"/>
          <w:lang w:eastAsia="en-IN"/>
        </w:rPr>
        <w:t> and </w:t>
      </w:r>
      <w:hyperlink r:id="rId14" w:tgtFrame="_blank" w:history="1">
        <w:r w:rsidRPr="00FF4C58">
          <w:rPr>
            <w:rFonts w:ascii="Arial" w:eastAsia="Times New Roman" w:hAnsi="Arial" w:cs="Arial"/>
            <w:color w:val="0000FF"/>
            <w:sz w:val="20"/>
            <w:szCs w:val="20"/>
            <w:u w:val="single"/>
            <w:lang w:eastAsia="en-IN"/>
          </w:rPr>
          <w:t>DOR.STR.REC.39/04.02.001/2022-23 dated May 31, 2022</w:t>
        </w:r>
      </w:hyperlink>
      <w:r w:rsidRPr="00FF4C58">
        <w:rPr>
          <w:rFonts w:ascii="Arial" w:eastAsia="Times New Roman" w:hAnsi="Arial" w:cs="Arial"/>
          <w:color w:val="000000"/>
          <w:sz w:val="20"/>
          <w:szCs w:val="20"/>
          <w:lang w:eastAsia="en-IN"/>
        </w:rPr>
        <w:t>.</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3. Further, Government has advised the following modifications to the scheme:</w:t>
      </w:r>
    </w:p>
    <w:p w:rsidR="00FF4C58" w:rsidRPr="00FF4C58" w:rsidRDefault="00FF4C58" w:rsidP="00FF4C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F4C58">
        <w:rPr>
          <w:rFonts w:ascii="Arial" w:eastAsia="Times New Roman" w:hAnsi="Arial" w:cs="Arial"/>
          <w:b/>
          <w:bCs/>
          <w:color w:val="000000"/>
          <w:sz w:val="20"/>
          <w:szCs w:val="20"/>
          <w:lang w:eastAsia="en-IN"/>
        </w:rPr>
        <w:t>Average interest rate:</w:t>
      </w:r>
      <w:r w:rsidRPr="00FF4C58">
        <w:rPr>
          <w:rFonts w:ascii="Arial" w:eastAsia="Times New Roman" w:hAnsi="Arial" w:cs="Arial"/>
          <w:color w:val="000000"/>
          <w:sz w:val="20"/>
          <w:szCs w:val="20"/>
          <w:lang w:eastAsia="en-IN"/>
        </w:rPr>
        <w:t xml:space="preserve"> With effect from FY 2023-24, the </w:t>
      </w:r>
      <w:proofErr w:type="gramStart"/>
      <w:r w:rsidRPr="00FF4C58">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FF4C58">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FF4C58">
        <w:rPr>
          <w:rFonts w:ascii="Arial" w:eastAsia="Times New Roman" w:hAnsi="Arial" w:cs="Arial"/>
          <w:color w:val="000000"/>
          <w:sz w:val="20"/>
          <w:szCs w:val="20"/>
          <w:lang w:eastAsia="en-IN"/>
        </w:rPr>
        <w:t>banks which</w:t>
      </w:r>
      <w:proofErr w:type="gramEnd"/>
      <w:r w:rsidRPr="00FF4C58">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FF4C58">
        <w:rPr>
          <w:rFonts w:ascii="Arial" w:eastAsia="Times New Roman" w:hAnsi="Arial" w:cs="Arial"/>
          <w:color w:val="000000"/>
          <w:sz w:val="20"/>
          <w:szCs w:val="20"/>
          <w:lang w:eastAsia="en-IN"/>
        </w:rPr>
        <w:t>till</w:t>
      </w:r>
      <w:proofErr w:type="gramEnd"/>
      <w:r w:rsidRPr="00FF4C58">
        <w:rPr>
          <w:rFonts w:ascii="Arial" w:eastAsia="Times New Roman" w:hAnsi="Arial" w:cs="Arial"/>
          <w:color w:val="000000"/>
          <w:sz w:val="20"/>
          <w:szCs w:val="20"/>
          <w:lang w:eastAsia="en-IN"/>
        </w:rPr>
        <w:t xml:space="preserve"> they furnish an undertaking (in the format as enclosed in the </w:t>
      </w:r>
      <w:hyperlink r:id="rId15" w:anchor="Annex" w:history="1">
        <w:r w:rsidRPr="00FF4C58">
          <w:rPr>
            <w:rFonts w:ascii="Arial" w:eastAsia="Times New Roman" w:hAnsi="Arial" w:cs="Arial"/>
            <w:color w:val="0000FF"/>
            <w:sz w:val="20"/>
            <w:szCs w:val="20"/>
            <w:u w:val="single"/>
            <w:lang w:eastAsia="en-IN"/>
          </w:rPr>
          <w:t>Annex</w:t>
        </w:r>
      </w:hyperlink>
      <w:r w:rsidRPr="00FF4C58">
        <w:rPr>
          <w:rFonts w:ascii="Arial" w:eastAsia="Times New Roman" w:hAnsi="Arial" w:cs="Arial"/>
          <w:color w:val="000000"/>
          <w:sz w:val="20"/>
          <w:szCs w:val="20"/>
          <w:lang w:eastAsia="en-IN"/>
        </w:rPr>
        <w:t>) to DGFT. Any further breach as assessed by DGFT thereafter may lead to debarment from the scheme.</w:t>
      </w:r>
    </w:p>
    <w:p w:rsidR="00FF4C58" w:rsidRPr="00FF4C58" w:rsidRDefault="00FF4C58" w:rsidP="00FF4C5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FF4C58">
        <w:rPr>
          <w:rFonts w:ascii="Arial" w:eastAsia="Times New Roman" w:hAnsi="Arial" w:cs="Arial"/>
          <w:b/>
          <w:bCs/>
          <w:color w:val="000000"/>
          <w:sz w:val="20"/>
          <w:szCs w:val="20"/>
          <w:lang w:eastAsia="en-IN"/>
        </w:rPr>
        <w:t>Cap on subvention amount:</w:t>
      </w:r>
      <w:r w:rsidRPr="00FF4C58">
        <w:rPr>
          <w:rFonts w:ascii="Arial" w:eastAsia="Times New Roman" w:hAnsi="Arial" w:cs="Arial"/>
          <w:color w:val="000000"/>
          <w:sz w:val="20"/>
          <w:szCs w:val="20"/>
          <w:lang w:eastAsia="en-IN"/>
        </w:rPr>
        <w:t> </w:t>
      </w:r>
      <w:proofErr w:type="gramStart"/>
      <w:r w:rsidRPr="00FF4C58">
        <w:rPr>
          <w:rFonts w:ascii="Arial" w:eastAsia="Times New Roman" w:hAnsi="Arial" w:cs="Arial"/>
          <w:color w:val="000000"/>
          <w:sz w:val="20"/>
          <w:szCs w:val="20"/>
          <w:lang w:eastAsia="en-IN"/>
        </w:rPr>
        <w:t xml:space="preserve">The annual net subvention amount has been already capped at </w:t>
      </w:r>
      <w:proofErr w:type="spellStart"/>
      <w:r w:rsidRPr="00FF4C58">
        <w:rPr>
          <w:rFonts w:ascii="Arial" w:eastAsia="Times New Roman" w:hAnsi="Arial" w:cs="Arial"/>
          <w:color w:val="000000"/>
          <w:sz w:val="20"/>
          <w:szCs w:val="20"/>
          <w:lang w:eastAsia="en-IN"/>
        </w:rPr>
        <w:t>Rs</w:t>
      </w:r>
      <w:proofErr w:type="spellEnd"/>
      <w:r w:rsidRPr="00FF4C58">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FF4C58">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FF4C58">
        <w:rPr>
          <w:rFonts w:ascii="Arial" w:eastAsia="Times New Roman" w:hAnsi="Arial" w:cs="Arial"/>
          <w:color w:val="000000"/>
          <w:sz w:val="20"/>
          <w:szCs w:val="20"/>
          <w:lang w:eastAsia="en-IN"/>
        </w:rPr>
        <w:t>shall be reckoned</w:t>
      </w:r>
      <w:proofErr w:type="gramEnd"/>
      <w:r w:rsidRPr="00FF4C58">
        <w:rPr>
          <w:rFonts w:ascii="Arial" w:eastAsia="Times New Roman" w:hAnsi="Arial" w:cs="Arial"/>
          <w:color w:val="000000"/>
          <w:sz w:val="20"/>
          <w:szCs w:val="20"/>
          <w:lang w:eastAsia="en-IN"/>
        </w:rPr>
        <w:t xml:space="preserve"> for this purpose.</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 xml:space="preserve">4. All other provisions of the </w:t>
      </w:r>
      <w:proofErr w:type="gramStart"/>
      <w:r w:rsidRPr="00FF4C58">
        <w:rPr>
          <w:rFonts w:ascii="Arial" w:eastAsia="Times New Roman" w:hAnsi="Arial" w:cs="Arial"/>
          <w:color w:val="000000"/>
          <w:sz w:val="20"/>
          <w:szCs w:val="20"/>
          <w:lang w:eastAsia="en-IN"/>
        </w:rPr>
        <w:t>aforesaid</w:t>
      </w:r>
      <w:proofErr w:type="gramEnd"/>
      <w:r w:rsidRPr="00FF4C58">
        <w:rPr>
          <w:rFonts w:ascii="Arial" w:eastAsia="Times New Roman" w:hAnsi="Arial" w:cs="Arial"/>
          <w:color w:val="000000"/>
          <w:sz w:val="20"/>
          <w:szCs w:val="20"/>
          <w:lang w:eastAsia="en-IN"/>
        </w:rPr>
        <w:t xml:space="preserve"> circulars shall remain unchanged.</w:t>
      </w:r>
    </w:p>
    <w:p w:rsidR="00FF4C58" w:rsidRPr="00FF4C58" w:rsidRDefault="00FF4C58" w:rsidP="00FF4C58">
      <w:pPr>
        <w:spacing w:before="100" w:beforeAutospacing="1" w:after="100" w:afterAutospacing="1" w:line="240" w:lineRule="auto"/>
        <w:jc w:val="both"/>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Yours faithfully</w:t>
      </w:r>
    </w:p>
    <w:p w:rsidR="00FF4C58" w:rsidRPr="00FF4C58" w:rsidRDefault="00FF4C58" w:rsidP="00FF4C58">
      <w:pPr>
        <w:spacing w:before="100" w:beforeAutospacing="1" w:after="100" w:afterAutospacing="1" w:line="240" w:lineRule="auto"/>
        <w:rPr>
          <w:rFonts w:ascii="Arial" w:eastAsia="Times New Roman" w:hAnsi="Arial" w:cs="Arial"/>
          <w:color w:val="000000"/>
          <w:sz w:val="20"/>
          <w:szCs w:val="20"/>
          <w:lang w:eastAsia="en-IN"/>
        </w:rPr>
      </w:pPr>
      <w:r w:rsidRPr="00FF4C58">
        <w:rPr>
          <w:rFonts w:ascii="Arial" w:eastAsia="Times New Roman" w:hAnsi="Arial" w:cs="Arial"/>
          <w:color w:val="000000"/>
          <w:sz w:val="20"/>
          <w:szCs w:val="20"/>
          <w:lang w:eastAsia="en-IN"/>
        </w:rPr>
        <w:t>(</w:t>
      </w:r>
      <w:proofErr w:type="spellStart"/>
      <w:r w:rsidRPr="00FF4C58">
        <w:rPr>
          <w:rFonts w:ascii="Arial" w:eastAsia="Times New Roman" w:hAnsi="Arial" w:cs="Arial"/>
          <w:color w:val="000000"/>
          <w:sz w:val="20"/>
          <w:szCs w:val="20"/>
          <w:lang w:eastAsia="en-IN"/>
        </w:rPr>
        <w:t>Vaibhav</w:t>
      </w:r>
      <w:proofErr w:type="spellEnd"/>
      <w:r w:rsidRPr="00FF4C58">
        <w:rPr>
          <w:rFonts w:ascii="Arial" w:eastAsia="Times New Roman" w:hAnsi="Arial" w:cs="Arial"/>
          <w:color w:val="000000"/>
          <w:sz w:val="20"/>
          <w:szCs w:val="20"/>
          <w:lang w:eastAsia="en-IN"/>
        </w:rPr>
        <w:t xml:space="preserve"> </w:t>
      </w:r>
      <w:proofErr w:type="spellStart"/>
      <w:r w:rsidRPr="00FF4C58">
        <w:rPr>
          <w:rFonts w:ascii="Arial" w:eastAsia="Times New Roman" w:hAnsi="Arial" w:cs="Arial"/>
          <w:color w:val="000000"/>
          <w:sz w:val="20"/>
          <w:szCs w:val="20"/>
          <w:lang w:eastAsia="en-IN"/>
        </w:rPr>
        <w:t>Chaturvedi</w:t>
      </w:r>
      <w:proofErr w:type="spellEnd"/>
      <w:r w:rsidRPr="00FF4C58">
        <w:rPr>
          <w:rFonts w:ascii="Arial" w:eastAsia="Times New Roman" w:hAnsi="Arial" w:cs="Arial"/>
          <w:color w:val="000000"/>
          <w:sz w:val="20"/>
          <w:szCs w:val="20"/>
          <w:lang w:eastAsia="en-IN"/>
        </w:rPr>
        <w:t>)</w:t>
      </w:r>
      <w:r w:rsidRPr="00FF4C58">
        <w:rPr>
          <w:rFonts w:ascii="Arial" w:eastAsia="Times New Roman" w:hAnsi="Arial" w:cs="Arial"/>
          <w:color w:val="000000"/>
          <w:sz w:val="20"/>
          <w:szCs w:val="20"/>
          <w:lang w:eastAsia="en-IN"/>
        </w:rPr>
        <w:br/>
        <w:t>Chief General Manager</w:t>
      </w:r>
    </w:p>
    <w:p w:rsidR="00CD5827" w:rsidRDefault="00FF4C58">
      <w:r w:rsidRPr="00FF4C58">
        <w:t>For more details, kindly refer:</w:t>
      </w:r>
    </w:p>
    <w:p w:rsidR="00FF4C58" w:rsidRDefault="00FF4C58">
      <w:hyperlink r:id="rId16" w:history="1">
        <w:r w:rsidRPr="00332F6B">
          <w:rPr>
            <w:rStyle w:val="Hyperlink"/>
          </w:rPr>
          <w:t>https://www.rbi.org.in/Scripts/NotificationUser.aspx?Id=12610&amp;Mode=0</w:t>
        </w:r>
      </w:hyperlink>
      <w:r>
        <w:t xml:space="preserve"> </w:t>
      </w:r>
    </w:p>
    <w:p w:rsidR="003F5D3E" w:rsidRDefault="003F5D3E"/>
    <w:p w:rsidR="003F5D3E" w:rsidRDefault="003F5D3E"/>
    <w:p w:rsidR="003F5D3E" w:rsidRDefault="003F5D3E"/>
    <w:p w:rsidR="003F5D3E" w:rsidRDefault="003F5D3E"/>
    <w:p w:rsidR="003F5D3E" w:rsidRDefault="003F5D3E"/>
    <w:p w:rsidR="003F5D3E" w:rsidRPr="003F5D3E" w:rsidRDefault="003F5D3E" w:rsidP="003F5D3E">
      <w:pPr>
        <w:spacing w:before="100" w:beforeAutospacing="1" w:after="100" w:afterAutospacing="1" w:line="240" w:lineRule="auto"/>
        <w:jc w:val="both"/>
        <w:rPr>
          <w:rFonts w:ascii="Arial" w:eastAsia="Times New Roman" w:hAnsi="Arial" w:cs="Arial"/>
          <w:b/>
          <w:bCs/>
          <w:color w:val="000000"/>
          <w:sz w:val="20"/>
          <w:szCs w:val="20"/>
          <w:lang w:eastAsia="en-IN"/>
        </w:rPr>
      </w:pPr>
      <w:r w:rsidRPr="003F5D3E">
        <w:rPr>
          <w:rFonts w:ascii="Arial" w:eastAsia="Times New Roman" w:hAnsi="Arial" w:cs="Arial"/>
          <w:b/>
          <w:bCs/>
          <w:color w:val="000000"/>
          <w:sz w:val="20"/>
          <w:szCs w:val="20"/>
          <w:lang w:eastAsia="en-IN"/>
        </w:rPr>
        <w:lastRenderedPageBreak/>
        <w:t>Master Direction – Reserve Bank of India (Filing of Supervisory Returns) Directions - 2024</w:t>
      </w:r>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RBI/</w:t>
      </w:r>
      <w:proofErr w:type="spellStart"/>
      <w:r w:rsidRPr="003F5D3E">
        <w:rPr>
          <w:rFonts w:ascii="Arial" w:eastAsia="Times New Roman" w:hAnsi="Arial" w:cs="Arial"/>
          <w:color w:val="000000"/>
          <w:sz w:val="20"/>
          <w:szCs w:val="20"/>
          <w:lang w:eastAsia="en-IN"/>
        </w:rPr>
        <w:t>DoS.DSG</w:t>
      </w:r>
      <w:proofErr w:type="spellEnd"/>
      <w:r w:rsidRPr="003F5D3E">
        <w:rPr>
          <w:rFonts w:ascii="Arial" w:eastAsia="Times New Roman" w:hAnsi="Arial" w:cs="Arial"/>
          <w:color w:val="000000"/>
          <w:sz w:val="20"/>
          <w:szCs w:val="20"/>
          <w:lang w:eastAsia="en-IN"/>
        </w:rPr>
        <w:t>/2023-24/110</w:t>
      </w:r>
      <w:r w:rsidRPr="003F5D3E">
        <w:rPr>
          <w:rFonts w:ascii="Arial" w:eastAsia="Times New Roman" w:hAnsi="Arial" w:cs="Arial"/>
          <w:color w:val="000000"/>
          <w:sz w:val="20"/>
          <w:szCs w:val="20"/>
          <w:lang w:eastAsia="en-IN"/>
        </w:rPr>
        <w:br/>
        <w:t>DoS.DSG.No.10/33.01.001/2023-24</w:t>
      </w:r>
    </w:p>
    <w:p w:rsidR="003F5D3E" w:rsidRPr="003F5D3E" w:rsidRDefault="003F5D3E" w:rsidP="003F5D3E">
      <w:pPr>
        <w:spacing w:before="100" w:beforeAutospacing="1" w:after="100" w:afterAutospacing="1" w:line="240" w:lineRule="auto"/>
        <w:jc w:val="right"/>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February 27, 2024</w:t>
      </w:r>
    </w:p>
    <w:p w:rsidR="003F5D3E" w:rsidRPr="003F5D3E" w:rsidRDefault="003F5D3E" w:rsidP="003F5D3E">
      <w:pPr>
        <w:spacing w:before="100" w:beforeAutospacing="1" w:after="100" w:afterAutospacing="1" w:line="240" w:lineRule="auto"/>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All Commercial Banks excluding Regional Rural Banks</w:t>
      </w:r>
      <w:r w:rsidRPr="003F5D3E">
        <w:rPr>
          <w:rFonts w:ascii="Arial" w:eastAsia="Times New Roman" w:hAnsi="Arial" w:cs="Arial"/>
          <w:color w:val="000000"/>
          <w:sz w:val="20"/>
          <w:szCs w:val="20"/>
          <w:lang w:eastAsia="en-IN"/>
        </w:rPr>
        <w:br/>
        <w:t>All Primary (Urban) Cooperative Banks</w:t>
      </w:r>
      <w:r w:rsidRPr="003F5D3E">
        <w:rPr>
          <w:rFonts w:ascii="Arial" w:eastAsia="Times New Roman" w:hAnsi="Arial" w:cs="Arial"/>
          <w:color w:val="000000"/>
          <w:sz w:val="20"/>
          <w:szCs w:val="20"/>
          <w:lang w:eastAsia="en-IN"/>
        </w:rPr>
        <w:br/>
        <w:t>Select All India Financial Institutions (Exim Bank, NABARD, NHB, SIDBI and NABFID</w:t>
      </w:r>
      <w:proofErr w:type="gramStart"/>
      <w:r w:rsidRPr="003F5D3E">
        <w:rPr>
          <w:rFonts w:ascii="Arial" w:eastAsia="Times New Roman" w:hAnsi="Arial" w:cs="Arial"/>
          <w:color w:val="000000"/>
          <w:sz w:val="20"/>
          <w:szCs w:val="20"/>
          <w:lang w:eastAsia="en-IN"/>
        </w:rPr>
        <w:t>)</w:t>
      </w:r>
      <w:proofErr w:type="gramEnd"/>
      <w:r w:rsidRPr="003F5D3E">
        <w:rPr>
          <w:rFonts w:ascii="Arial" w:eastAsia="Times New Roman" w:hAnsi="Arial" w:cs="Arial"/>
          <w:color w:val="000000"/>
          <w:sz w:val="20"/>
          <w:szCs w:val="20"/>
          <w:lang w:eastAsia="en-IN"/>
        </w:rPr>
        <w:br/>
        <w:t>All Non-Banking Financial Companies (excluding Housing Finance Companies) and All Asset Reconstruction Companies</w:t>
      </w:r>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Madam/ Dear Sir,</w:t>
      </w:r>
    </w:p>
    <w:p w:rsidR="003F5D3E" w:rsidRPr="003F5D3E" w:rsidRDefault="003F5D3E" w:rsidP="003F5D3E">
      <w:pPr>
        <w:spacing w:before="100" w:beforeAutospacing="1" w:after="100" w:afterAutospacing="1" w:line="240" w:lineRule="auto"/>
        <w:jc w:val="both"/>
        <w:rPr>
          <w:rFonts w:ascii="Arial" w:eastAsia="Times New Roman" w:hAnsi="Arial" w:cs="Arial"/>
          <w:b/>
          <w:bCs/>
          <w:color w:val="000000"/>
          <w:sz w:val="20"/>
          <w:szCs w:val="20"/>
          <w:lang w:eastAsia="en-IN"/>
        </w:rPr>
      </w:pPr>
      <w:r w:rsidRPr="003F5D3E">
        <w:rPr>
          <w:rFonts w:ascii="Arial" w:eastAsia="Times New Roman" w:hAnsi="Arial" w:cs="Arial"/>
          <w:b/>
          <w:bCs/>
          <w:color w:val="000000"/>
          <w:sz w:val="20"/>
          <w:szCs w:val="20"/>
          <w:lang w:eastAsia="en-IN"/>
        </w:rPr>
        <w:t>Master Direction – Reserve Bank of India (Filing of Supervisory Returns) Directions - 2024</w:t>
      </w:r>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Please refer to paragraph 4 of </w:t>
      </w:r>
      <w:hyperlink r:id="rId17" w:tgtFrame="_blank" w:history="1">
        <w:r w:rsidRPr="003F5D3E">
          <w:rPr>
            <w:rFonts w:ascii="Arial" w:eastAsia="Times New Roman" w:hAnsi="Arial" w:cs="Arial"/>
            <w:color w:val="0000FF"/>
            <w:sz w:val="20"/>
            <w:szCs w:val="20"/>
            <w:u w:val="single"/>
            <w:lang w:eastAsia="en-IN"/>
          </w:rPr>
          <w:t>Statement on Developmental and Regulatory Policies dated August 10, 2023</w:t>
        </w:r>
      </w:hyperlink>
      <w:r w:rsidRPr="003F5D3E">
        <w:rPr>
          <w:rFonts w:ascii="Arial" w:eastAsia="Times New Roman" w:hAnsi="Arial" w:cs="Arial"/>
          <w:color w:val="000000"/>
          <w:sz w:val="20"/>
          <w:szCs w:val="20"/>
          <w:lang w:eastAsia="en-IN"/>
        </w:rPr>
        <w:t>. All Supervised Entities (SEs) are required to submit certain supervisory returns to the Reserve Bank as per various directions / circulars/ notifications issued by the Bank from time to time.</w:t>
      </w:r>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 xml:space="preserve">2. In order to create a single reference for all Supervisory Returns and to harmonize the timelines for filing of returns, all the relevant instructions have been rationalised and consolidated into a single Master Direction. </w:t>
      </w:r>
      <w:proofErr w:type="gramStart"/>
      <w:r w:rsidRPr="003F5D3E">
        <w:rPr>
          <w:rFonts w:ascii="Arial" w:eastAsia="Times New Roman" w:hAnsi="Arial" w:cs="Arial"/>
          <w:color w:val="000000"/>
          <w:sz w:val="20"/>
          <w:szCs w:val="20"/>
          <w:lang w:eastAsia="en-IN"/>
        </w:rPr>
        <w:t>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roofErr w:type="gramEnd"/>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 xml:space="preserve">3. The summary of changes introduced in this Direction over the extant instructions </w:t>
      </w:r>
      <w:proofErr w:type="gramStart"/>
      <w:r w:rsidRPr="003F5D3E">
        <w:rPr>
          <w:rFonts w:ascii="Arial" w:eastAsia="Times New Roman" w:hAnsi="Arial" w:cs="Arial"/>
          <w:color w:val="000000"/>
          <w:sz w:val="20"/>
          <w:szCs w:val="20"/>
          <w:lang w:eastAsia="en-IN"/>
        </w:rPr>
        <w:t>is given</w:t>
      </w:r>
      <w:proofErr w:type="gramEnd"/>
      <w:r w:rsidRPr="003F5D3E">
        <w:rPr>
          <w:rFonts w:ascii="Arial" w:eastAsia="Times New Roman" w:hAnsi="Arial" w:cs="Arial"/>
          <w:color w:val="000000"/>
          <w:sz w:val="20"/>
          <w:szCs w:val="20"/>
          <w:lang w:eastAsia="en-IN"/>
        </w:rPr>
        <w:t xml:space="preserve"> in </w:t>
      </w:r>
      <w:hyperlink r:id="rId18" w:tgtFrame="_blank" w:history="1">
        <w:r w:rsidRPr="003F5D3E">
          <w:rPr>
            <w:rFonts w:ascii="Arial" w:eastAsia="Times New Roman" w:hAnsi="Arial" w:cs="Arial"/>
            <w:color w:val="0000FF"/>
            <w:sz w:val="20"/>
            <w:szCs w:val="20"/>
            <w:u w:val="single"/>
            <w:lang w:eastAsia="en-IN"/>
          </w:rPr>
          <w:t>Annex I</w:t>
        </w:r>
      </w:hyperlink>
      <w:r w:rsidRPr="003F5D3E">
        <w:rPr>
          <w:rFonts w:ascii="Arial" w:eastAsia="Times New Roman" w:hAnsi="Arial" w:cs="Arial"/>
          <w:color w:val="000000"/>
          <w:sz w:val="20"/>
          <w:szCs w:val="20"/>
          <w:lang w:eastAsia="en-IN"/>
        </w:rPr>
        <w:t>. The list of underlying notifications / circulars which form the basis of this Master Direction and are hereby being repealed (</w:t>
      </w:r>
      <w:proofErr w:type="gramStart"/>
      <w:r w:rsidRPr="003F5D3E">
        <w:rPr>
          <w:rFonts w:ascii="Arial" w:eastAsia="Times New Roman" w:hAnsi="Arial" w:cs="Arial"/>
          <w:color w:val="000000"/>
          <w:sz w:val="20"/>
          <w:szCs w:val="20"/>
          <w:lang w:eastAsia="en-IN"/>
        </w:rPr>
        <w:t>whole</w:t>
      </w:r>
      <w:proofErr w:type="gramEnd"/>
      <w:r w:rsidRPr="003F5D3E">
        <w:rPr>
          <w:rFonts w:ascii="Arial" w:eastAsia="Times New Roman" w:hAnsi="Arial" w:cs="Arial"/>
          <w:color w:val="000000"/>
          <w:sz w:val="20"/>
          <w:szCs w:val="20"/>
          <w:lang w:eastAsia="en-IN"/>
        </w:rPr>
        <w:t xml:space="preserve"> or in part) is furnished in </w:t>
      </w:r>
      <w:hyperlink r:id="rId19" w:tgtFrame="_blank" w:history="1">
        <w:r w:rsidRPr="003F5D3E">
          <w:rPr>
            <w:rFonts w:ascii="Arial" w:eastAsia="Times New Roman" w:hAnsi="Arial" w:cs="Arial"/>
            <w:color w:val="0000FF"/>
            <w:sz w:val="20"/>
            <w:szCs w:val="20"/>
            <w:u w:val="single"/>
            <w:lang w:eastAsia="en-IN"/>
          </w:rPr>
          <w:t>Annex II</w:t>
        </w:r>
      </w:hyperlink>
      <w:r w:rsidRPr="003F5D3E">
        <w:rPr>
          <w:rFonts w:ascii="Arial" w:eastAsia="Times New Roman" w:hAnsi="Arial" w:cs="Arial"/>
          <w:color w:val="000000"/>
          <w:sz w:val="20"/>
          <w:szCs w:val="20"/>
          <w:lang w:eastAsia="en-IN"/>
        </w:rPr>
        <w:t xml:space="preserve">. The set of applicable returns to </w:t>
      </w:r>
      <w:proofErr w:type="gramStart"/>
      <w:r w:rsidRPr="003F5D3E">
        <w:rPr>
          <w:rFonts w:ascii="Arial" w:eastAsia="Times New Roman" w:hAnsi="Arial" w:cs="Arial"/>
          <w:color w:val="000000"/>
          <w:sz w:val="20"/>
          <w:szCs w:val="20"/>
          <w:lang w:eastAsia="en-IN"/>
        </w:rPr>
        <w:t>be filed</w:t>
      </w:r>
      <w:proofErr w:type="gramEnd"/>
      <w:r w:rsidRPr="003F5D3E">
        <w:rPr>
          <w:rFonts w:ascii="Arial" w:eastAsia="Times New Roman" w:hAnsi="Arial" w:cs="Arial"/>
          <w:color w:val="000000"/>
          <w:sz w:val="20"/>
          <w:szCs w:val="20"/>
          <w:lang w:eastAsia="en-IN"/>
        </w:rPr>
        <w:t xml:space="preserve"> by SEs and the general description of the returns are compiled and presented in </w:t>
      </w:r>
      <w:hyperlink r:id="rId20" w:tgtFrame="_blank" w:history="1">
        <w:r w:rsidRPr="003F5D3E">
          <w:rPr>
            <w:rFonts w:ascii="Arial" w:eastAsia="Times New Roman" w:hAnsi="Arial" w:cs="Arial"/>
            <w:color w:val="0000FF"/>
            <w:sz w:val="20"/>
            <w:szCs w:val="20"/>
            <w:u w:val="single"/>
            <w:lang w:eastAsia="en-IN"/>
          </w:rPr>
          <w:t>Annex III</w:t>
        </w:r>
      </w:hyperlink>
      <w:r w:rsidRPr="003F5D3E">
        <w:rPr>
          <w:rFonts w:ascii="Arial" w:eastAsia="Times New Roman" w:hAnsi="Arial" w:cs="Arial"/>
          <w:color w:val="000000"/>
          <w:sz w:val="20"/>
          <w:szCs w:val="20"/>
          <w:lang w:eastAsia="en-IN"/>
        </w:rPr>
        <w:t>, with the alternate timelines for returns submission enlisted in </w:t>
      </w:r>
      <w:hyperlink r:id="rId21" w:tgtFrame="_blank" w:history="1">
        <w:r w:rsidRPr="003F5D3E">
          <w:rPr>
            <w:rFonts w:ascii="Arial" w:eastAsia="Times New Roman" w:hAnsi="Arial" w:cs="Arial"/>
            <w:color w:val="0000FF"/>
            <w:sz w:val="20"/>
            <w:szCs w:val="20"/>
            <w:u w:val="single"/>
            <w:lang w:eastAsia="en-IN"/>
          </w:rPr>
          <w:t>Annex IV</w:t>
        </w:r>
      </w:hyperlink>
      <w:r w:rsidRPr="003F5D3E">
        <w:rPr>
          <w:rFonts w:ascii="Arial" w:eastAsia="Times New Roman" w:hAnsi="Arial" w:cs="Arial"/>
          <w:color w:val="000000"/>
          <w:sz w:val="20"/>
          <w:szCs w:val="20"/>
          <w:lang w:eastAsia="en-IN"/>
        </w:rPr>
        <w:t>. Guidance on filing of these returns are available on Bank’s Website under the ‘Regulatory Reporting’ tab. Details of online portals for filing of applicable returns by SEs are given in </w:t>
      </w:r>
      <w:hyperlink r:id="rId22" w:tgtFrame="_blank" w:history="1">
        <w:r w:rsidRPr="003F5D3E">
          <w:rPr>
            <w:rFonts w:ascii="Arial" w:eastAsia="Times New Roman" w:hAnsi="Arial" w:cs="Arial"/>
            <w:color w:val="0000FF"/>
            <w:sz w:val="20"/>
            <w:szCs w:val="20"/>
            <w:u w:val="single"/>
            <w:lang w:eastAsia="en-IN"/>
          </w:rPr>
          <w:t>Annex V</w:t>
        </w:r>
      </w:hyperlink>
      <w:r w:rsidRPr="003F5D3E">
        <w:rPr>
          <w:rFonts w:ascii="Arial" w:eastAsia="Times New Roman" w:hAnsi="Arial" w:cs="Arial"/>
          <w:color w:val="000000"/>
          <w:sz w:val="20"/>
          <w:szCs w:val="20"/>
          <w:lang w:eastAsia="en-IN"/>
        </w:rPr>
        <w:t xml:space="preserve">. The list of abbreviations used in this Master Direction </w:t>
      </w:r>
      <w:proofErr w:type="gramStart"/>
      <w:r w:rsidRPr="003F5D3E">
        <w:rPr>
          <w:rFonts w:ascii="Arial" w:eastAsia="Times New Roman" w:hAnsi="Arial" w:cs="Arial"/>
          <w:color w:val="000000"/>
          <w:sz w:val="20"/>
          <w:szCs w:val="20"/>
          <w:lang w:eastAsia="en-IN"/>
        </w:rPr>
        <w:t>is provided</w:t>
      </w:r>
      <w:proofErr w:type="gramEnd"/>
      <w:r w:rsidRPr="003F5D3E">
        <w:rPr>
          <w:rFonts w:ascii="Arial" w:eastAsia="Times New Roman" w:hAnsi="Arial" w:cs="Arial"/>
          <w:color w:val="000000"/>
          <w:sz w:val="20"/>
          <w:szCs w:val="20"/>
          <w:lang w:eastAsia="en-IN"/>
        </w:rPr>
        <w:t xml:space="preserve"> in </w:t>
      </w:r>
      <w:hyperlink r:id="rId23" w:tgtFrame="_blank" w:history="1">
        <w:r w:rsidRPr="003F5D3E">
          <w:rPr>
            <w:rFonts w:ascii="Arial" w:eastAsia="Times New Roman" w:hAnsi="Arial" w:cs="Arial"/>
            <w:color w:val="0000FF"/>
            <w:sz w:val="20"/>
            <w:szCs w:val="20"/>
            <w:u w:val="single"/>
            <w:lang w:eastAsia="en-IN"/>
          </w:rPr>
          <w:t>Annex VI</w:t>
        </w:r>
      </w:hyperlink>
      <w:r w:rsidRPr="003F5D3E">
        <w:rPr>
          <w:rFonts w:ascii="Arial" w:eastAsia="Times New Roman" w:hAnsi="Arial" w:cs="Arial"/>
          <w:color w:val="000000"/>
          <w:sz w:val="20"/>
          <w:szCs w:val="20"/>
          <w:lang w:eastAsia="en-IN"/>
        </w:rPr>
        <w:t>.</w:t>
      </w:r>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 xml:space="preserve">4. It is clarified that </w:t>
      </w:r>
      <w:proofErr w:type="gramStart"/>
      <w:r w:rsidRPr="003F5D3E">
        <w:rPr>
          <w:rFonts w:ascii="Arial" w:eastAsia="Times New Roman" w:hAnsi="Arial" w:cs="Arial"/>
          <w:color w:val="000000"/>
          <w:sz w:val="20"/>
          <w:szCs w:val="20"/>
          <w:lang w:eastAsia="en-IN"/>
        </w:rPr>
        <w:t>submission of other regulatory/statutory returns will not be affected by these Directions</w:t>
      </w:r>
      <w:proofErr w:type="gramEnd"/>
      <w:r w:rsidRPr="003F5D3E">
        <w:rPr>
          <w:rFonts w:ascii="Arial" w:eastAsia="Times New Roman" w:hAnsi="Arial" w:cs="Arial"/>
          <w:color w:val="000000"/>
          <w:sz w:val="20"/>
          <w:szCs w:val="20"/>
          <w:lang w:eastAsia="en-IN"/>
        </w:rPr>
        <w:t>.</w:t>
      </w:r>
    </w:p>
    <w:p w:rsidR="003F5D3E" w:rsidRPr="003F5D3E" w:rsidRDefault="003F5D3E" w:rsidP="003F5D3E">
      <w:pPr>
        <w:spacing w:before="100" w:beforeAutospacing="1" w:after="100" w:afterAutospacing="1" w:line="240" w:lineRule="auto"/>
        <w:jc w:val="both"/>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Yours faithfully,</w:t>
      </w:r>
    </w:p>
    <w:p w:rsidR="003F5D3E" w:rsidRPr="003F5D3E" w:rsidRDefault="003F5D3E" w:rsidP="003F5D3E">
      <w:pPr>
        <w:spacing w:before="100" w:beforeAutospacing="1" w:after="100" w:afterAutospacing="1" w:line="240" w:lineRule="auto"/>
        <w:rPr>
          <w:rFonts w:ascii="Arial" w:eastAsia="Times New Roman" w:hAnsi="Arial" w:cs="Arial"/>
          <w:color w:val="000000"/>
          <w:sz w:val="20"/>
          <w:szCs w:val="20"/>
          <w:lang w:eastAsia="en-IN"/>
        </w:rPr>
      </w:pPr>
      <w:r w:rsidRPr="003F5D3E">
        <w:rPr>
          <w:rFonts w:ascii="Arial" w:eastAsia="Times New Roman" w:hAnsi="Arial" w:cs="Arial"/>
          <w:color w:val="000000"/>
          <w:sz w:val="20"/>
          <w:szCs w:val="20"/>
          <w:lang w:eastAsia="en-IN"/>
        </w:rPr>
        <w:t>(</w:t>
      </w:r>
      <w:proofErr w:type="spellStart"/>
      <w:r w:rsidRPr="003F5D3E">
        <w:rPr>
          <w:rFonts w:ascii="Arial" w:eastAsia="Times New Roman" w:hAnsi="Arial" w:cs="Arial"/>
          <w:color w:val="000000"/>
          <w:sz w:val="20"/>
          <w:szCs w:val="20"/>
          <w:lang w:eastAsia="en-IN"/>
        </w:rPr>
        <w:t>Dr.</w:t>
      </w:r>
      <w:proofErr w:type="spellEnd"/>
      <w:r w:rsidRPr="003F5D3E">
        <w:rPr>
          <w:rFonts w:ascii="Arial" w:eastAsia="Times New Roman" w:hAnsi="Arial" w:cs="Arial"/>
          <w:color w:val="000000"/>
          <w:sz w:val="20"/>
          <w:szCs w:val="20"/>
          <w:lang w:eastAsia="en-IN"/>
        </w:rPr>
        <w:t xml:space="preserve"> Vijay Singh </w:t>
      </w:r>
      <w:proofErr w:type="spellStart"/>
      <w:r w:rsidRPr="003F5D3E">
        <w:rPr>
          <w:rFonts w:ascii="Arial" w:eastAsia="Times New Roman" w:hAnsi="Arial" w:cs="Arial"/>
          <w:color w:val="000000"/>
          <w:sz w:val="20"/>
          <w:szCs w:val="20"/>
          <w:lang w:eastAsia="en-IN"/>
        </w:rPr>
        <w:t>Shekhawat</w:t>
      </w:r>
      <w:proofErr w:type="spellEnd"/>
      <w:r w:rsidRPr="003F5D3E">
        <w:rPr>
          <w:rFonts w:ascii="Arial" w:eastAsia="Times New Roman" w:hAnsi="Arial" w:cs="Arial"/>
          <w:color w:val="000000"/>
          <w:sz w:val="20"/>
          <w:szCs w:val="20"/>
          <w:lang w:eastAsia="en-IN"/>
        </w:rPr>
        <w:t>)</w:t>
      </w:r>
      <w:r w:rsidRPr="003F5D3E">
        <w:rPr>
          <w:rFonts w:ascii="Arial" w:eastAsia="Times New Roman" w:hAnsi="Arial" w:cs="Arial"/>
          <w:color w:val="000000"/>
          <w:sz w:val="20"/>
          <w:szCs w:val="20"/>
          <w:lang w:eastAsia="en-IN"/>
        </w:rPr>
        <w:br/>
        <w:t>Chief General Manager</w:t>
      </w:r>
    </w:p>
    <w:p w:rsidR="003F5D3E" w:rsidRDefault="003F5D3E">
      <w:r w:rsidRPr="003F5D3E">
        <w:t>For more details, kindly refer:</w:t>
      </w:r>
    </w:p>
    <w:p w:rsidR="003F5D3E" w:rsidRDefault="003F5D3E">
      <w:hyperlink r:id="rId24" w:history="1">
        <w:r w:rsidRPr="00332F6B">
          <w:rPr>
            <w:rStyle w:val="Hyperlink"/>
          </w:rPr>
          <w:t>https://www.rbi.org.in/Scripts/NotificationUser.aspx?Id=12613&amp;Mode=0</w:t>
        </w:r>
      </w:hyperlink>
      <w:r>
        <w:t xml:space="preserve"> </w:t>
      </w:r>
    </w:p>
    <w:p w:rsidR="002A26C0" w:rsidRDefault="002A26C0"/>
    <w:p w:rsidR="002A26C0" w:rsidRDefault="002A26C0"/>
    <w:p w:rsidR="002A26C0" w:rsidRDefault="002A26C0"/>
    <w:p w:rsidR="002A26C0" w:rsidRPr="002A26C0" w:rsidRDefault="002A26C0" w:rsidP="002A26C0">
      <w:pPr>
        <w:spacing w:before="100" w:beforeAutospacing="1" w:after="100" w:afterAutospacing="1" w:line="240" w:lineRule="auto"/>
        <w:jc w:val="both"/>
        <w:rPr>
          <w:rFonts w:ascii="Arial" w:eastAsia="Times New Roman" w:hAnsi="Arial" w:cs="Arial"/>
          <w:b/>
          <w:bCs/>
          <w:color w:val="000000"/>
          <w:sz w:val="20"/>
          <w:szCs w:val="20"/>
          <w:lang w:eastAsia="en-IN"/>
        </w:rPr>
      </w:pPr>
      <w:r w:rsidRPr="002A26C0">
        <w:rPr>
          <w:rFonts w:ascii="Arial" w:eastAsia="Times New Roman" w:hAnsi="Arial" w:cs="Arial"/>
          <w:b/>
          <w:bCs/>
          <w:color w:val="000000"/>
          <w:sz w:val="20"/>
          <w:szCs w:val="20"/>
          <w:lang w:eastAsia="en-IN"/>
        </w:rPr>
        <w:lastRenderedPageBreak/>
        <w:t>Master Direction – Reserve Bank of India (Bharat Bill Payment System) Directions, 2024</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RBI/DPSS/2023-24/111</w:t>
      </w:r>
      <w:r w:rsidRPr="002A26C0">
        <w:rPr>
          <w:rFonts w:ascii="Arial" w:eastAsia="Times New Roman" w:hAnsi="Arial" w:cs="Arial"/>
          <w:color w:val="000000"/>
          <w:sz w:val="20"/>
          <w:szCs w:val="20"/>
          <w:lang w:eastAsia="en-IN"/>
        </w:rPr>
        <w:br/>
        <w:t>CO.DPSS.POLC.No.S1114/02-27-020/2023-2024</w:t>
      </w:r>
    </w:p>
    <w:p w:rsidR="002A26C0" w:rsidRPr="002A26C0" w:rsidRDefault="002A26C0" w:rsidP="002A26C0">
      <w:pPr>
        <w:spacing w:before="100" w:beforeAutospacing="1" w:after="100" w:afterAutospacing="1" w:line="240" w:lineRule="auto"/>
        <w:jc w:val="right"/>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February 29, 2024</w:t>
      </w:r>
    </w:p>
    <w:p w:rsidR="002A26C0" w:rsidRPr="002A26C0" w:rsidRDefault="002A26C0" w:rsidP="002A26C0">
      <w:pPr>
        <w:spacing w:before="100" w:beforeAutospacing="1" w:after="100" w:afterAutospacing="1" w:line="240" w:lineRule="auto"/>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The Chairman / Managing Director / Chief Executive</w:t>
      </w:r>
      <w:r w:rsidRPr="002A26C0">
        <w:rPr>
          <w:rFonts w:ascii="Arial" w:eastAsia="Times New Roman" w:hAnsi="Arial" w:cs="Arial"/>
          <w:color w:val="000000"/>
          <w:sz w:val="20"/>
          <w:szCs w:val="20"/>
          <w:lang w:eastAsia="en-IN"/>
        </w:rPr>
        <w:br/>
        <w:t>All Scheduled Commercial Banks including RRBs /</w:t>
      </w:r>
      <w:r w:rsidRPr="002A26C0">
        <w:rPr>
          <w:rFonts w:ascii="Arial" w:eastAsia="Times New Roman" w:hAnsi="Arial" w:cs="Arial"/>
          <w:color w:val="000000"/>
          <w:sz w:val="20"/>
          <w:szCs w:val="20"/>
          <w:lang w:eastAsia="en-IN"/>
        </w:rPr>
        <w:br/>
        <w:t>Urban Cooperative Banks / State Cooperative Banks / District Central Cooperative Banks /</w:t>
      </w:r>
      <w:r w:rsidRPr="002A26C0">
        <w:rPr>
          <w:rFonts w:ascii="Arial" w:eastAsia="Times New Roman" w:hAnsi="Arial" w:cs="Arial"/>
          <w:color w:val="000000"/>
          <w:sz w:val="20"/>
          <w:szCs w:val="20"/>
          <w:lang w:eastAsia="en-IN"/>
        </w:rPr>
        <w:br/>
        <w:t xml:space="preserve">NPCI Bharat </w:t>
      </w:r>
      <w:proofErr w:type="spellStart"/>
      <w:r w:rsidRPr="002A26C0">
        <w:rPr>
          <w:rFonts w:ascii="Arial" w:eastAsia="Times New Roman" w:hAnsi="Arial" w:cs="Arial"/>
          <w:color w:val="000000"/>
          <w:sz w:val="20"/>
          <w:szCs w:val="20"/>
          <w:lang w:eastAsia="en-IN"/>
        </w:rPr>
        <w:t>BillPay</w:t>
      </w:r>
      <w:proofErr w:type="spellEnd"/>
      <w:r w:rsidRPr="002A26C0">
        <w:rPr>
          <w:rFonts w:ascii="Arial" w:eastAsia="Times New Roman" w:hAnsi="Arial" w:cs="Arial"/>
          <w:color w:val="000000"/>
          <w:sz w:val="20"/>
          <w:szCs w:val="20"/>
          <w:lang w:eastAsia="en-IN"/>
        </w:rPr>
        <w:t xml:space="preserve"> Limited / Non-bank Payment System Participants</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Dear Sir / Madam,</w:t>
      </w:r>
    </w:p>
    <w:p w:rsidR="002A26C0" w:rsidRPr="002A26C0" w:rsidRDefault="002A26C0" w:rsidP="002A26C0">
      <w:pPr>
        <w:spacing w:before="100" w:beforeAutospacing="1" w:after="100" w:afterAutospacing="1" w:line="240" w:lineRule="auto"/>
        <w:jc w:val="both"/>
        <w:rPr>
          <w:rFonts w:ascii="Arial" w:eastAsia="Times New Roman" w:hAnsi="Arial" w:cs="Arial"/>
          <w:b/>
          <w:bCs/>
          <w:color w:val="000000"/>
          <w:sz w:val="20"/>
          <w:szCs w:val="20"/>
          <w:lang w:eastAsia="en-IN"/>
        </w:rPr>
      </w:pPr>
      <w:r w:rsidRPr="002A26C0">
        <w:rPr>
          <w:rFonts w:ascii="Arial" w:eastAsia="Times New Roman" w:hAnsi="Arial" w:cs="Arial"/>
          <w:b/>
          <w:bCs/>
          <w:color w:val="000000"/>
          <w:sz w:val="20"/>
          <w:szCs w:val="20"/>
          <w:lang w:eastAsia="en-IN"/>
        </w:rPr>
        <w:t>Master Direction – Reserve Bank of India (Bharat Bill Payment System) Directions, 2024</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The current regulations covering Bharat Bill Payment System (BBPS) (</w:t>
      </w:r>
      <w:hyperlink r:id="rId25" w:tgtFrame="_blank" w:history="1">
        <w:r w:rsidRPr="002A26C0">
          <w:rPr>
            <w:rFonts w:ascii="Arial" w:eastAsia="Times New Roman" w:hAnsi="Arial" w:cs="Arial"/>
            <w:color w:val="0000FF"/>
            <w:sz w:val="20"/>
            <w:szCs w:val="20"/>
            <w:u w:val="single"/>
            <w:lang w:eastAsia="en-IN"/>
          </w:rPr>
          <w:t>RBI Circular DPSS.CO.PD.No.940/02.27.020/2014-15 dated November 28, 2014</w:t>
        </w:r>
      </w:hyperlink>
      <w:r w:rsidRPr="002A26C0">
        <w:rPr>
          <w:rFonts w:ascii="Arial" w:eastAsia="Times New Roman" w:hAnsi="Arial" w:cs="Arial"/>
          <w:color w:val="000000"/>
          <w:sz w:val="20"/>
          <w:szCs w:val="20"/>
          <w:lang w:eastAsia="en-IN"/>
        </w:rPr>
        <w:t>) provide for a tiered structure with (a) NPCI Bharat Bill Pay Ltd (NBBL) as a Central Unit (BBPCU) (b) Bharat Bill Payment Operating Units (BBPOUs) and (c) Agent network/s of the BBPOUs.</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 xml:space="preserve">2. In view of significant developments in the payments landscape, a need </w:t>
      </w:r>
      <w:proofErr w:type="gramStart"/>
      <w:r w:rsidRPr="002A26C0">
        <w:rPr>
          <w:rFonts w:ascii="Arial" w:eastAsia="Times New Roman" w:hAnsi="Arial" w:cs="Arial"/>
          <w:color w:val="000000"/>
          <w:sz w:val="20"/>
          <w:szCs w:val="20"/>
          <w:lang w:eastAsia="en-IN"/>
        </w:rPr>
        <w:t>was felt</w:t>
      </w:r>
      <w:proofErr w:type="gramEnd"/>
      <w:r w:rsidRPr="002A26C0">
        <w:rPr>
          <w:rFonts w:ascii="Arial" w:eastAsia="Times New Roman" w:hAnsi="Arial" w:cs="Arial"/>
          <w:color w:val="000000"/>
          <w:sz w:val="20"/>
          <w:szCs w:val="20"/>
          <w:lang w:eastAsia="en-IN"/>
        </w:rPr>
        <w:t xml:space="preserve"> to review and update these regulations. Accordingly, as announced in </w:t>
      </w:r>
      <w:hyperlink r:id="rId26" w:tgtFrame="_blank" w:history="1">
        <w:r w:rsidRPr="002A26C0">
          <w:rPr>
            <w:rFonts w:ascii="Arial" w:eastAsia="Times New Roman" w:hAnsi="Arial" w:cs="Arial"/>
            <w:color w:val="0000FF"/>
            <w:sz w:val="20"/>
            <w:szCs w:val="20"/>
            <w:u w:val="single"/>
            <w:lang w:eastAsia="en-IN"/>
          </w:rPr>
          <w:t>Statement on Developmental and Regulatory Policies dated June 08, 2023</w:t>
        </w:r>
      </w:hyperlink>
      <w:r w:rsidRPr="002A26C0">
        <w:rPr>
          <w:rFonts w:ascii="Arial" w:eastAsia="Times New Roman" w:hAnsi="Arial" w:cs="Arial"/>
          <w:color w:val="000000"/>
          <w:sz w:val="20"/>
          <w:szCs w:val="20"/>
          <w:lang w:eastAsia="en-IN"/>
        </w:rPr>
        <w:t xml:space="preserve">, it </w:t>
      </w:r>
      <w:proofErr w:type="gramStart"/>
      <w:r w:rsidRPr="002A26C0">
        <w:rPr>
          <w:rFonts w:ascii="Arial" w:eastAsia="Times New Roman" w:hAnsi="Arial" w:cs="Arial"/>
          <w:color w:val="000000"/>
          <w:sz w:val="20"/>
          <w:szCs w:val="20"/>
          <w:lang w:eastAsia="en-IN"/>
        </w:rPr>
        <w:t>has been decided</w:t>
      </w:r>
      <w:proofErr w:type="gramEnd"/>
      <w:r w:rsidRPr="002A26C0">
        <w:rPr>
          <w:rFonts w:ascii="Arial" w:eastAsia="Times New Roman" w:hAnsi="Arial" w:cs="Arial"/>
          <w:color w:val="000000"/>
          <w:sz w:val="20"/>
          <w:szCs w:val="20"/>
          <w:lang w:eastAsia="en-IN"/>
        </w:rPr>
        <w:t xml:space="preserve"> to put in place a revised regulatory framework - Bharat Bill Payment Systems Directions, 2024, as </w:t>
      </w:r>
      <w:hyperlink r:id="rId27" w:anchor="ANN1" w:history="1">
        <w:r w:rsidRPr="002A26C0">
          <w:rPr>
            <w:rFonts w:ascii="Arial" w:eastAsia="Times New Roman" w:hAnsi="Arial" w:cs="Arial"/>
            <w:color w:val="0000FF"/>
            <w:sz w:val="20"/>
            <w:szCs w:val="20"/>
            <w:u w:val="single"/>
            <w:lang w:eastAsia="en-IN"/>
          </w:rPr>
          <w:t>annexed</w:t>
        </w:r>
      </w:hyperlink>
      <w:r w:rsidRPr="002A26C0">
        <w:rPr>
          <w:rFonts w:ascii="Arial" w:eastAsia="Times New Roman" w:hAnsi="Arial" w:cs="Arial"/>
          <w:color w:val="000000"/>
          <w:sz w:val="20"/>
          <w:szCs w:val="20"/>
          <w:lang w:eastAsia="en-IN"/>
        </w:rPr>
        <w:t> hereto.</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3. These Directions seek to streamline the process of bill payments, enable greater participation, and enhance customer protection among other changes.</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 xml:space="preserve">4. These Directions shall be applicable from April 01, 2024 and shall supersede the regulations cited in para </w:t>
      </w:r>
      <w:proofErr w:type="gramStart"/>
      <w:r w:rsidRPr="002A26C0">
        <w:rPr>
          <w:rFonts w:ascii="Arial" w:eastAsia="Times New Roman" w:hAnsi="Arial" w:cs="Arial"/>
          <w:color w:val="000000"/>
          <w:sz w:val="20"/>
          <w:szCs w:val="20"/>
          <w:lang w:eastAsia="en-IN"/>
        </w:rPr>
        <w:t>1</w:t>
      </w:r>
      <w:proofErr w:type="gramEnd"/>
      <w:r w:rsidRPr="002A26C0">
        <w:rPr>
          <w:rFonts w:ascii="Arial" w:eastAsia="Times New Roman" w:hAnsi="Arial" w:cs="Arial"/>
          <w:color w:val="000000"/>
          <w:sz w:val="20"/>
          <w:szCs w:val="20"/>
          <w:lang w:eastAsia="en-IN"/>
        </w:rPr>
        <w:t xml:space="preserve">. This </w:t>
      </w:r>
      <w:proofErr w:type="gramStart"/>
      <w:r w:rsidRPr="002A26C0">
        <w:rPr>
          <w:rFonts w:ascii="Arial" w:eastAsia="Times New Roman" w:hAnsi="Arial" w:cs="Arial"/>
          <w:color w:val="000000"/>
          <w:sz w:val="20"/>
          <w:szCs w:val="20"/>
          <w:lang w:eastAsia="en-IN"/>
        </w:rPr>
        <w:t>is issued</w:t>
      </w:r>
      <w:proofErr w:type="gramEnd"/>
      <w:r w:rsidRPr="002A26C0">
        <w:rPr>
          <w:rFonts w:ascii="Arial" w:eastAsia="Times New Roman" w:hAnsi="Arial" w:cs="Arial"/>
          <w:color w:val="000000"/>
          <w:sz w:val="20"/>
          <w:szCs w:val="20"/>
          <w:lang w:eastAsia="en-IN"/>
        </w:rPr>
        <w:t xml:space="preserve"> under Section 18 read with Section 10(2) of the Payment and Settlement Systems (PSS) Act, 2007 (Act 51 of 2007).</w:t>
      </w:r>
    </w:p>
    <w:p w:rsidR="002A26C0" w:rsidRPr="002A26C0" w:rsidRDefault="002A26C0" w:rsidP="002A26C0">
      <w:pPr>
        <w:spacing w:before="100" w:beforeAutospacing="1" w:after="100" w:afterAutospacing="1" w:line="240" w:lineRule="auto"/>
        <w:jc w:val="both"/>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Yours faithfully,</w:t>
      </w:r>
    </w:p>
    <w:p w:rsidR="002A26C0" w:rsidRPr="002A26C0" w:rsidRDefault="002A26C0" w:rsidP="002A26C0">
      <w:pPr>
        <w:spacing w:before="100" w:beforeAutospacing="1" w:after="100" w:afterAutospacing="1" w:line="240" w:lineRule="auto"/>
        <w:rPr>
          <w:rFonts w:ascii="Arial" w:eastAsia="Times New Roman" w:hAnsi="Arial" w:cs="Arial"/>
          <w:color w:val="000000"/>
          <w:sz w:val="20"/>
          <w:szCs w:val="20"/>
          <w:lang w:eastAsia="en-IN"/>
        </w:rPr>
      </w:pPr>
      <w:r w:rsidRPr="002A26C0">
        <w:rPr>
          <w:rFonts w:ascii="Arial" w:eastAsia="Times New Roman" w:hAnsi="Arial" w:cs="Arial"/>
          <w:color w:val="000000"/>
          <w:sz w:val="20"/>
          <w:szCs w:val="20"/>
          <w:lang w:eastAsia="en-IN"/>
        </w:rPr>
        <w:t>(</w:t>
      </w:r>
      <w:proofErr w:type="spellStart"/>
      <w:r w:rsidRPr="002A26C0">
        <w:rPr>
          <w:rFonts w:ascii="Arial" w:eastAsia="Times New Roman" w:hAnsi="Arial" w:cs="Arial"/>
          <w:color w:val="000000"/>
          <w:sz w:val="20"/>
          <w:szCs w:val="20"/>
          <w:lang w:eastAsia="en-IN"/>
        </w:rPr>
        <w:t>Gunveer</w:t>
      </w:r>
      <w:proofErr w:type="spellEnd"/>
      <w:r w:rsidRPr="002A26C0">
        <w:rPr>
          <w:rFonts w:ascii="Arial" w:eastAsia="Times New Roman" w:hAnsi="Arial" w:cs="Arial"/>
          <w:color w:val="000000"/>
          <w:sz w:val="20"/>
          <w:szCs w:val="20"/>
          <w:lang w:eastAsia="en-IN"/>
        </w:rPr>
        <w:t xml:space="preserve"> Singh)</w:t>
      </w:r>
      <w:r w:rsidRPr="002A26C0">
        <w:rPr>
          <w:rFonts w:ascii="Arial" w:eastAsia="Times New Roman" w:hAnsi="Arial" w:cs="Arial"/>
          <w:color w:val="000000"/>
          <w:sz w:val="20"/>
          <w:szCs w:val="20"/>
          <w:lang w:eastAsia="en-IN"/>
        </w:rPr>
        <w:br/>
        <w:t>Chief General Manager-in-Charge</w:t>
      </w:r>
    </w:p>
    <w:p w:rsidR="002A26C0" w:rsidRDefault="002A26C0">
      <w:r w:rsidRPr="002A26C0">
        <w:t>For more details, kindly refer:</w:t>
      </w:r>
    </w:p>
    <w:p w:rsidR="002A26C0" w:rsidRDefault="002A26C0">
      <w:hyperlink r:id="rId28" w:history="1">
        <w:r w:rsidRPr="00332F6B">
          <w:rPr>
            <w:rStyle w:val="Hyperlink"/>
          </w:rPr>
          <w:t>https://www.rbi.org.in/Scripts/NotificationUser.aspx?Id=12616&amp;Mode=0</w:t>
        </w:r>
      </w:hyperlink>
      <w:r>
        <w:t xml:space="preserve"> </w:t>
      </w:r>
    </w:p>
    <w:p w:rsidR="0049335A" w:rsidRDefault="0049335A"/>
    <w:p w:rsidR="0049335A" w:rsidRDefault="0049335A"/>
    <w:p w:rsidR="0049335A" w:rsidRDefault="0049335A"/>
    <w:p w:rsidR="0049335A" w:rsidRDefault="0049335A"/>
    <w:p w:rsidR="0049335A" w:rsidRDefault="0049335A"/>
    <w:p w:rsidR="0049335A" w:rsidRDefault="0049335A"/>
    <w:p w:rsidR="0049335A" w:rsidRDefault="0049335A"/>
    <w:p w:rsidR="0049335A" w:rsidRDefault="0049335A"/>
    <w:p w:rsidR="0049335A" w:rsidRPr="0049335A" w:rsidRDefault="0049335A" w:rsidP="0049335A">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 Credit Card and Debit Card – Issuance and Conduct Directions, 2022</w:t>
      </w:r>
    </w:p>
    <w:p w:rsidR="0049335A" w:rsidRDefault="0049335A" w:rsidP="0049335A">
      <w:pPr>
        <w:pStyle w:val="NormalWeb"/>
        <w:jc w:val="both"/>
        <w:rPr>
          <w:rFonts w:ascii="Arial" w:hAnsi="Arial" w:cs="Arial"/>
          <w:color w:val="000000"/>
          <w:sz w:val="20"/>
          <w:szCs w:val="20"/>
        </w:rPr>
      </w:pPr>
      <w:r>
        <w:rPr>
          <w:rFonts w:ascii="Arial" w:hAnsi="Arial" w:cs="Arial"/>
          <w:color w:val="000000"/>
          <w:sz w:val="20"/>
          <w:szCs w:val="20"/>
        </w:rPr>
        <w:t>RBI/2023-24/132</w:t>
      </w:r>
      <w:r>
        <w:rPr>
          <w:rFonts w:ascii="Arial" w:hAnsi="Arial" w:cs="Arial"/>
          <w:color w:val="000000"/>
          <w:sz w:val="20"/>
          <w:szCs w:val="20"/>
        </w:rPr>
        <w:br/>
        <w:t>DOR.RAUG.AUT.REC.No.81/24.01.041/2023-24</w:t>
      </w:r>
    </w:p>
    <w:p w:rsidR="0049335A" w:rsidRDefault="0049335A" w:rsidP="0049335A">
      <w:pPr>
        <w:pStyle w:val="NormalWeb"/>
        <w:jc w:val="right"/>
        <w:rPr>
          <w:rFonts w:ascii="Arial" w:hAnsi="Arial" w:cs="Arial"/>
          <w:color w:val="000000"/>
          <w:sz w:val="20"/>
          <w:szCs w:val="20"/>
        </w:rPr>
      </w:pPr>
      <w:r>
        <w:rPr>
          <w:rFonts w:ascii="Arial" w:hAnsi="Arial" w:cs="Arial"/>
          <w:color w:val="000000"/>
          <w:sz w:val="20"/>
          <w:szCs w:val="20"/>
        </w:rPr>
        <w:t>March 07, 2024</w:t>
      </w:r>
    </w:p>
    <w:p w:rsidR="0049335A" w:rsidRDefault="0049335A" w:rsidP="0049335A">
      <w:pPr>
        <w:pStyle w:val="NormalWeb"/>
        <w:rPr>
          <w:rFonts w:ascii="Arial" w:hAnsi="Arial" w:cs="Arial"/>
          <w:color w:val="000000"/>
          <w:sz w:val="20"/>
          <w:szCs w:val="20"/>
        </w:rPr>
      </w:pPr>
      <w:r>
        <w:rPr>
          <w:rFonts w:ascii="Arial" w:hAnsi="Arial" w:cs="Arial"/>
          <w:color w:val="000000"/>
          <w:sz w:val="20"/>
          <w:szCs w:val="20"/>
        </w:rPr>
        <w:t>The Chairperson / Managing Director / Chief Executive Officer</w:t>
      </w:r>
      <w:r>
        <w:rPr>
          <w:rFonts w:ascii="Arial" w:hAnsi="Arial" w:cs="Arial"/>
          <w:color w:val="000000"/>
          <w:sz w:val="20"/>
          <w:szCs w:val="20"/>
        </w:rPr>
        <w:br/>
        <w:t>Banks and Non-Banking Financial Companies</w:t>
      </w:r>
    </w:p>
    <w:p w:rsidR="0049335A" w:rsidRDefault="0049335A" w:rsidP="0049335A">
      <w:pPr>
        <w:pStyle w:val="NormalWeb"/>
        <w:jc w:val="both"/>
        <w:rPr>
          <w:rFonts w:ascii="Arial" w:hAnsi="Arial" w:cs="Arial"/>
          <w:color w:val="000000"/>
          <w:sz w:val="20"/>
          <w:szCs w:val="20"/>
        </w:rPr>
      </w:pPr>
      <w:r>
        <w:rPr>
          <w:rFonts w:ascii="Arial" w:hAnsi="Arial" w:cs="Arial"/>
          <w:color w:val="000000"/>
          <w:sz w:val="20"/>
          <w:szCs w:val="20"/>
        </w:rPr>
        <w:t>Madam / Sir,</w:t>
      </w:r>
    </w:p>
    <w:p w:rsidR="0049335A" w:rsidRDefault="0049335A" w:rsidP="0049335A">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 Credit Card and Debit Card – Issuance and Conduct Directions, 2022</w:t>
      </w:r>
    </w:p>
    <w:p w:rsidR="0049335A" w:rsidRDefault="0049335A" w:rsidP="0049335A">
      <w:pPr>
        <w:pStyle w:val="NormalWeb"/>
        <w:jc w:val="both"/>
        <w:rPr>
          <w:rFonts w:ascii="Arial" w:hAnsi="Arial" w:cs="Arial"/>
          <w:color w:val="000000"/>
          <w:sz w:val="20"/>
          <w:szCs w:val="20"/>
        </w:rPr>
      </w:pPr>
      <w:proofErr w:type="gramStart"/>
      <w:r>
        <w:rPr>
          <w:rFonts w:ascii="Arial" w:hAnsi="Arial" w:cs="Arial"/>
          <w:color w:val="000000"/>
          <w:sz w:val="20"/>
          <w:szCs w:val="20"/>
        </w:rPr>
        <w:t>In exercise of the powers conferred by Section 35A of the Banking Regulation Act, 1949 and Chapter IIIB of the Reserve Bank of India Act, 1934, the Reserve Bank of India being satisfied that it is necessary and expedient in the public interest to do so, hereby, amends certain provisions issued vide </w:t>
      </w:r>
      <w:hyperlink r:id="rId29" w:tgtFrame="_blank" w:history="1">
        <w:r>
          <w:rPr>
            <w:rStyle w:val="Hyperlink"/>
            <w:rFonts w:ascii="Arial" w:hAnsi="Arial" w:cs="Arial"/>
            <w:sz w:val="20"/>
            <w:szCs w:val="20"/>
          </w:rPr>
          <w:t>Master Direction DoR.AUT.REC.No.27/24.01.041/2022-23 dated April 21, 2022</w:t>
        </w:r>
      </w:hyperlink>
      <w:r>
        <w:rPr>
          <w:rFonts w:ascii="Arial" w:hAnsi="Arial" w:cs="Arial"/>
          <w:color w:val="000000"/>
          <w:sz w:val="20"/>
          <w:szCs w:val="20"/>
        </w:rPr>
        <w:t> on ‘Credit Card and Debit Card – Issuance and Conduct Directions, 2022’.</w:t>
      </w:r>
      <w:proofErr w:type="gramEnd"/>
    </w:p>
    <w:p w:rsidR="0049335A" w:rsidRDefault="0049335A" w:rsidP="0049335A">
      <w:pPr>
        <w:pStyle w:val="NormalWeb"/>
        <w:jc w:val="both"/>
        <w:rPr>
          <w:rFonts w:ascii="Arial" w:hAnsi="Arial" w:cs="Arial"/>
          <w:color w:val="000000"/>
          <w:sz w:val="20"/>
          <w:szCs w:val="20"/>
        </w:rPr>
      </w:pPr>
      <w:r>
        <w:rPr>
          <w:rFonts w:ascii="Arial" w:hAnsi="Arial" w:cs="Arial"/>
          <w:color w:val="000000"/>
          <w:sz w:val="20"/>
          <w:szCs w:val="20"/>
        </w:rPr>
        <w:t xml:space="preserve">2. The amended provisions of the Master Direction </w:t>
      </w:r>
      <w:proofErr w:type="gramStart"/>
      <w:r>
        <w:rPr>
          <w:rFonts w:ascii="Arial" w:hAnsi="Arial" w:cs="Arial"/>
          <w:color w:val="000000"/>
          <w:sz w:val="20"/>
          <w:szCs w:val="20"/>
        </w:rPr>
        <w:t>are enclosed</w:t>
      </w:r>
      <w:proofErr w:type="gramEnd"/>
      <w:r>
        <w:rPr>
          <w:rFonts w:ascii="Arial" w:hAnsi="Arial" w:cs="Arial"/>
          <w:color w:val="000000"/>
          <w:sz w:val="20"/>
          <w:szCs w:val="20"/>
        </w:rPr>
        <w:t xml:space="preserve"> in the </w:t>
      </w:r>
      <w:hyperlink r:id="rId30" w:anchor="AS" w:history="1">
        <w:r>
          <w:rPr>
            <w:rStyle w:val="Hyperlink"/>
            <w:rFonts w:ascii="Arial" w:hAnsi="Arial" w:cs="Arial"/>
            <w:sz w:val="20"/>
            <w:szCs w:val="20"/>
          </w:rPr>
          <w:t>Annex</w:t>
        </w:r>
      </w:hyperlink>
      <w:r>
        <w:rPr>
          <w:rFonts w:ascii="Arial" w:hAnsi="Arial" w:cs="Arial"/>
          <w:color w:val="000000"/>
          <w:sz w:val="20"/>
          <w:szCs w:val="20"/>
        </w:rPr>
        <w:t> to this circular. </w:t>
      </w:r>
      <w:hyperlink r:id="rId31" w:tgtFrame="_blank" w:history="1">
        <w:r>
          <w:rPr>
            <w:rStyle w:val="Hyperlink"/>
            <w:rFonts w:ascii="Arial" w:hAnsi="Arial" w:cs="Arial"/>
            <w:sz w:val="20"/>
            <w:szCs w:val="20"/>
          </w:rPr>
          <w:t>Frequently Asked Questions</w:t>
        </w:r>
      </w:hyperlink>
      <w:r>
        <w:rPr>
          <w:rFonts w:ascii="Arial" w:hAnsi="Arial" w:cs="Arial"/>
          <w:color w:val="000000"/>
          <w:sz w:val="20"/>
          <w:szCs w:val="20"/>
        </w:rPr>
        <w:t xml:space="preserve"> relating to the provisions contained in the Master Direction </w:t>
      </w:r>
      <w:proofErr w:type="gramStart"/>
      <w:r>
        <w:rPr>
          <w:rFonts w:ascii="Arial" w:hAnsi="Arial" w:cs="Arial"/>
          <w:color w:val="000000"/>
          <w:sz w:val="20"/>
          <w:szCs w:val="20"/>
        </w:rPr>
        <w:t>are placed</w:t>
      </w:r>
      <w:proofErr w:type="gramEnd"/>
      <w:r>
        <w:rPr>
          <w:rFonts w:ascii="Arial" w:hAnsi="Arial" w:cs="Arial"/>
          <w:color w:val="000000"/>
          <w:sz w:val="20"/>
          <w:szCs w:val="20"/>
        </w:rPr>
        <w:t xml:space="preserve"> under </w:t>
      </w:r>
      <w:hyperlink r:id="rId32" w:tgtFrame="_blank" w:history="1">
        <w:r>
          <w:rPr>
            <w:rStyle w:val="Hyperlink"/>
            <w:rFonts w:ascii="Arial" w:hAnsi="Arial" w:cs="Arial"/>
            <w:sz w:val="20"/>
            <w:szCs w:val="20"/>
          </w:rPr>
          <w:t>FAQ Section</w:t>
        </w:r>
      </w:hyperlink>
      <w:r>
        <w:rPr>
          <w:rFonts w:ascii="Arial" w:hAnsi="Arial" w:cs="Arial"/>
          <w:color w:val="000000"/>
          <w:sz w:val="20"/>
          <w:szCs w:val="20"/>
        </w:rPr>
        <w:t> on the website and as an Appendix to the Master Direction.</w:t>
      </w:r>
    </w:p>
    <w:p w:rsidR="0049335A" w:rsidRDefault="0049335A" w:rsidP="0049335A">
      <w:pPr>
        <w:pStyle w:val="head"/>
        <w:jc w:val="both"/>
        <w:rPr>
          <w:rFonts w:ascii="Arial" w:hAnsi="Arial" w:cs="Arial"/>
          <w:b/>
          <w:bCs/>
          <w:color w:val="000000"/>
          <w:sz w:val="20"/>
          <w:szCs w:val="20"/>
        </w:rPr>
      </w:pPr>
      <w:r>
        <w:rPr>
          <w:rFonts w:ascii="Arial" w:hAnsi="Arial" w:cs="Arial"/>
          <w:b/>
          <w:bCs/>
          <w:color w:val="000000"/>
          <w:sz w:val="20"/>
          <w:szCs w:val="20"/>
        </w:rPr>
        <w:t>3. Commencement</w:t>
      </w:r>
    </w:p>
    <w:p w:rsidR="0049335A" w:rsidRDefault="0049335A" w:rsidP="0049335A">
      <w:pPr>
        <w:pStyle w:val="NormalWeb"/>
        <w:jc w:val="both"/>
        <w:rPr>
          <w:rFonts w:ascii="Arial" w:hAnsi="Arial" w:cs="Arial"/>
          <w:color w:val="000000"/>
          <w:sz w:val="20"/>
          <w:szCs w:val="20"/>
        </w:rPr>
      </w:pPr>
      <w:r>
        <w:rPr>
          <w:rFonts w:ascii="Arial" w:hAnsi="Arial" w:cs="Arial"/>
          <w:color w:val="000000"/>
          <w:sz w:val="20"/>
          <w:szCs w:val="20"/>
        </w:rPr>
        <w:t>The amended provisions contained in this circular shall come into effect from March 07, 2024. The captioned Master Direction is hereby updated to reflect the changes effected by the below amendments.</w:t>
      </w:r>
    </w:p>
    <w:p w:rsidR="0049335A" w:rsidRDefault="0049335A" w:rsidP="0049335A">
      <w:pPr>
        <w:pStyle w:val="head"/>
        <w:jc w:val="both"/>
        <w:rPr>
          <w:rFonts w:ascii="Arial" w:hAnsi="Arial" w:cs="Arial"/>
          <w:b/>
          <w:bCs/>
          <w:color w:val="000000"/>
          <w:sz w:val="20"/>
          <w:szCs w:val="20"/>
        </w:rPr>
      </w:pPr>
      <w:r>
        <w:rPr>
          <w:rFonts w:ascii="Arial" w:hAnsi="Arial" w:cs="Arial"/>
          <w:b/>
          <w:bCs/>
          <w:color w:val="000000"/>
          <w:sz w:val="20"/>
          <w:szCs w:val="20"/>
        </w:rPr>
        <w:t>4. Applicability</w:t>
      </w:r>
    </w:p>
    <w:p w:rsidR="0049335A" w:rsidRDefault="0049335A" w:rsidP="0049335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Instructions relating to credit cards shall apply to all credit card issuing Banks and Non-Banking Financial Companies (NBFCs).</w:t>
      </w:r>
    </w:p>
    <w:p w:rsidR="0049335A" w:rsidRDefault="0049335A" w:rsidP="0049335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Instructions relating to debit cards shall apply to every bank operating in India.</w:t>
      </w:r>
    </w:p>
    <w:p w:rsidR="0049335A" w:rsidRDefault="0049335A" w:rsidP="0049335A">
      <w:pPr>
        <w:pStyle w:val="NormalWeb"/>
        <w:rPr>
          <w:rFonts w:ascii="Arial" w:hAnsi="Arial" w:cs="Arial"/>
          <w:color w:val="000000"/>
          <w:sz w:val="20"/>
          <w:szCs w:val="20"/>
        </w:rPr>
      </w:pPr>
      <w:r>
        <w:rPr>
          <w:rStyle w:val="head1"/>
          <w:rFonts w:ascii="Arial" w:hAnsi="Arial" w:cs="Arial"/>
          <w:b/>
          <w:bCs/>
          <w:color w:val="000000"/>
          <w:sz w:val="20"/>
          <w:szCs w:val="20"/>
        </w:rPr>
        <w:t>(</w:t>
      </w:r>
      <w:proofErr w:type="spellStart"/>
      <w:r>
        <w:rPr>
          <w:rStyle w:val="head1"/>
          <w:rFonts w:ascii="Arial" w:hAnsi="Arial" w:cs="Arial"/>
          <w:b/>
          <w:bCs/>
          <w:color w:val="000000"/>
          <w:sz w:val="20"/>
          <w:szCs w:val="20"/>
        </w:rPr>
        <w:t>Manoranjan</w:t>
      </w:r>
      <w:proofErr w:type="spellEnd"/>
      <w:r>
        <w:rPr>
          <w:rStyle w:val="head1"/>
          <w:rFonts w:ascii="Arial" w:hAnsi="Arial" w:cs="Arial"/>
          <w:b/>
          <w:bCs/>
          <w:color w:val="000000"/>
          <w:sz w:val="20"/>
          <w:szCs w:val="20"/>
        </w:rPr>
        <w:t xml:space="preserve"> </w:t>
      </w:r>
      <w:proofErr w:type="spellStart"/>
      <w:r>
        <w:rPr>
          <w:rStyle w:val="head1"/>
          <w:rFonts w:ascii="Arial" w:hAnsi="Arial" w:cs="Arial"/>
          <w:b/>
          <w:bCs/>
          <w:color w:val="000000"/>
          <w:sz w:val="20"/>
          <w:szCs w:val="20"/>
        </w:rPr>
        <w:t>Padhy</w:t>
      </w:r>
      <w:proofErr w:type="spellEnd"/>
      <w:r>
        <w:rPr>
          <w:rStyle w:val="head1"/>
          <w:rFonts w:ascii="Arial" w:hAnsi="Arial" w:cs="Arial"/>
          <w:b/>
          <w:bCs/>
          <w:color w:val="000000"/>
          <w:sz w:val="20"/>
          <w:szCs w:val="20"/>
        </w:rPr>
        <w:t>)</w:t>
      </w:r>
      <w:r>
        <w:rPr>
          <w:rFonts w:ascii="Arial" w:hAnsi="Arial" w:cs="Arial"/>
          <w:color w:val="000000"/>
          <w:sz w:val="20"/>
          <w:szCs w:val="20"/>
        </w:rPr>
        <w:br/>
        <w:t>Chief General Manager</w:t>
      </w:r>
    </w:p>
    <w:p w:rsidR="0049335A" w:rsidRDefault="0049335A">
      <w:r w:rsidRPr="0049335A">
        <w:t>For more details, kindly refer:</w:t>
      </w:r>
    </w:p>
    <w:p w:rsidR="0049335A" w:rsidRDefault="0049335A">
      <w:hyperlink r:id="rId33" w:history="1">
        <w:r w:rsidRPr="00332F6B">
          <w:rPr>
            <w:rStyle w:val="Hyperlink"/>
          </w:rPr>
          <w:t>https://www.rbi.org.in/Scripts/NotificationUser.aspx?Id=12620&amp;Mode=0</w:t>
        </w:r>
      </w:hyperlink>
      <w:r>
        <w:t xml:space="preserve"> </w:t>
      </w:r>
    </w:p>
    <w:p w:rsidR="0034318F" w:rsidRDefault="0034318F"/>
    <w:p w:rsidR="0034318F" w:rsidRDefault="0034318F"/>
    <w:p w:rsidR="0034318F" w:rsidRDefault="0034318F"/>
    <w:p w:rsidR="0034318F" w:rsidRDefault="0034318F"/>
    <w:p w:rsidR="0034318F" w:rsidRDefault="0034318F"/>
    <w:p w:rsidR="0034318F" w:rsidRDefault="0034318F"/>
    <w:p w:rsidR="0034318F" w:rsidRDefault="0034318F"/>
    <w:p w:rsidR="0034318F" w:rsidRPr="0034318F" w:rsidRDefault="0034318F" w:rsidP="0034318F">
      <w:pPr>
        <w:pStyle w:val="head"/>
        <w:jc w:val="both"/>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RBI/2023-24/140</w:t>
      </w:r>
      <w:r>
        <w:rPr>
          <w:rFonts w:ascii="Arial" w:hAnsi="Arial" w:cs="Arial"/>
          <w:color w:val="000000"/>
          <w:sz w:val="20"/>
          <w:szCs w:val="20"/>
        </w:rPr>
        <w:br/>
        <w:t>DOR.STR.REC.85/21.04.048/2023-24</w:t>
      </w:r>
    </w:p>
    <w:p w:rsidR="0034318F" w:rsidRDefault="0034318F" w:rsidP="0034318F">
      <w:pPr>
        <w:pStyle w:val="NormalWeb"/>
        <w:jc w:val="right"/>
        <w:rPr>
          <w:rFonts w:ascii="Arial" w:hAnsi="Arial" w:cs="Arial"/>
          <w:color w:val="000000"/>
          <w:sz w:val="20"/>
          <w:szCs w:val="20"/>
        </w:rPr>
      </w:pPr>
      <w:r>
        <w:rPr>
          <w:rFonts w:ascii="Arial" w:hAnsi="Arial" w:cs="Arial"/>
          <w:color w:val="000000"/>
          <w:sz w:val="20"/>
          <w:szCs w:val="20"/>
        </w:rPr>
        <w:t>March 27, 2024</w:t>
      </w:r>
    </w:p>
    <w:p w:rsidR="0034318F" w:rsidRDefault="0034318F" w:rsidP="0034318F">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proofErr w:type="gramStart"/>
      <w:r>
        <w:rPr>
          <w:rFonts w:ascii="Arial" w:hAnsi="Arial" w:cs="Arial"/>
          <w:color w:val="000000"/>
          <w:sz w:val="20"/>
          <w:szCs w:val="20"/>
        </w:rPr>
        <w:t>)</w:t>
      </w:r>
      <w:proofErr w:type="gramEnd"/>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34318F" w:rsidRDefault="0034318F" w:rsidP="0034318F">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4" w:tgtFrame="_blank" w:history="1">
        <w:r>
          <w:rPr>
            <w:rStyle w:val="Hyperlink"/>
            <w:rFonts w:ascii="Arial" w:hAnsi="Arial" w:cs="Arial"/>
            <w:sz w:val="20"/>
            <w:szCs w:val="20"/>
          </w:rPr>
          <w:t>circular DOR.STR.REC.58/21.04.048/2023-24 dated December 19, 2023</w:t>
        </w:r>
      </w:hyperlink>
      <w:r>
        <w:rPr>
          <w:rFonts w:ascii="Arial" w:hAnsi="Arial" w:cs="Arial"/>
          <w:color w:val="000000"/>
          <w:sz w:val="20"/>
          <w:szCs w:val="20"/>
        </w:rPr>
        <w:t xml:space="preserve"> (‘Circular’) on the captioned subject, in terms of which instructions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to address certain regulatory concerns relating to investment by regulated entities (REs) in the AIFs.</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 xml:space="preserve">2. With a view to ensuring uniformity in implementation among the REs, and to address the concerns flagged in various representations received from stakeholders, it </w:t>
      </w:r>
      <w:proofErr w:type="gramStart"/>
      <w:r>
        <w:rPr>
          <w:rFonts w:ascii="Arial" w:hAnsi="Arial" w:cs="Arial"/>
          <w:color w:val="000000"/>
          <w:sz w:val="20"/>
          <w:szCs w:val="20"/>
        </w:rPr>
        <w:t>is advised</w:t>
      </w:r>
      <w:proofErr w:type="gramEnd"/>
      <w:r>
        <w:rPr>
          <w:rFonts w:ascii="Arial" w:hAnsi="Arial" w:cs="Arial"/>
          <w:color w:val="000000"/>
          <w:sz w:val="20"/>
          <w:szCs w:val="20"/>
        </w:rPr>
        <w:t xml:space="preserve"> as under:</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Downstream investments referred to in paragraph 2 (</w:t>
      </w:r>
      <w:proofErr w:type="spellStart"/>
      <w:r>
        <w:rPr>
          <w:rFonts w:ascii="Arial" w:hAnsi="Arial" w:cs="Arial"/>
          <w:color w:val="000000"/>
          <w:sz w:val="20"/>
          <w:szCs w:val="20"/>
        </w:rPr>
        <w:t>i</w:t>
      </w:r>
      <w:proofErr w:type="spellEnd"/>
      <w:r>
        <w:rPr>
          <w:rFonts w:ascii="Arial" w:hAnsi="Arial" w:cs="Arial"/>
          <w:color w:val="000000"/>
          <w:sz w:val="20"/>
          <w:szCs w:val="20"/>
        </w:rPr>
        <w:t>) of the Circular shall exclude investments in equity shares of the debtor company of the RE, but shall include all other investments, including investment in hybrid instruments.</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34318F" w:rsidRDefault="0034318F" w:rsidP="0034318F">
      <w:pPr>
        <w:pStyle w:val="NormalWeb"/>
        <w:jc w:val="both"/>
        <w:rPr>
          <w:rFonts w:ascii="Arial" w:hAnsi="Arial" w:cs="Arial"/>
          <w:color w:val="000000"/>
          <w:sz w:val="20"/>
          <w:szCs w:val="20"/>
        </w:rPr>
      </w:pPr>
      <w:proofErr w:type="gramStart"/>
      <w:r>
        <w:rPr>
          <w:rFonts w:ascii="Arial" w:hAnsi="Arial" w:cs="Arial"/>
          <w:color w:val="000000"/>
          <w:sz w:val="20"/>
          <w:szCs w:val="20"/>
        </w:rPr>
        <w:t>(iv) Further</w:t>
      </w:r>
      <w:proofErr w:type="gramEnd"/>
      <w:r>
        <w:rPr>
          <w:rFonts w:ascii="Arial" w:hAnsi="Arial" w:cs="Arial"/>
          <w:color w:val="000000"/>
          <w:sz w:val="20"/>
          <w:szCs w:val="20"/>
        </w:rPr>
        <w:t xml:space="preserve"> with regard to paragraph 3 of the Circular:</w:t>
      </w:r>
    </w:p>
    <w:p w:rsidR="0034318F" w:rsidRDefault="0034318F" w:rsidP="0034318F">
      <w:pPr>
        <w:pStyle w:val="NormalWeb"/>
        <w:numPr>
          <w:ilvl w:val="0"/>
          <w:numId w:val="3"/>
        </w:numPr>
        <w:ind w:left="0"/>
        <w:jc w:val="both"/>
        <w:rPr>
          <w:rFonts w:ascii="Arial" w:hAnsi="Arial" w:cs="Arial"/>
          <w:color w:val="000000"/>
          <w:sz w:val="20"/>
          <w:szCs w:val="20"/>
        </w:rPr>
      </w:pPr>
      <w:proofErr w:type="gramStart"/>
      <w:r>
        <w:rPr>
          <w:rFonts w:ascii="Arial" w:hAnsi="Arial" w:cs="Arial"/>
          <w:color w:val="000000"/>
          <w:sz w:val="20"/>
          <w:szCs w:val="20"/>
        </w:rPr>
        <w:t>proposed</w:t>
      </w:r>
      <w:proofErr w:type="gramEnd"/>
      <w:r>
        <w:rPr>
          <w:rFonts w:ascii="Arial" w:hAnsi="Arial" w:cs="Arial"/>
          <w:color w:val="000000"/>
          <w:sz w:val="20"/>
          <w:szCs w:val="20"/>
        </w:rPr>
        <w:t xml:space="preserve"> deduction from capital shall take place equally from both Tier-1 and Tier-2 capital.</w:t>
      </w:r>
    </w:p>
    <w:p w:rsidR="0034318F" w:rsidRDefault="0034318F" w:rsidP="0034318F">
      <w:pPr>
        <w:pStyle w:val="NormalWeb"/>
        <w:numPr>
          <w:ilvl w:val="0"/>
          <w:numId w:val="3"/>
        </w:numPr>
        <w:ind w:left="0"/>
        <w:jc w:val="both"/>
        <w:rPr>
          <w:rFonts w:ascii="Arial" w:hAnsi="Arial" w:cs="Arial"/>
          <w:color w:val="000000"/>
          <w:sz w:val="20"/>
          <w:szCs w:val="20"/>
        </w:rPr>
      </w:pPr>
      <w:proofErr w:type="gramStart"/>
      <w:r>
        <w:rPr>
          <w:rFonts w:ascii="Arial" w:hAnsi="Arial" w:cs="Arial"/>
          <w:color w:val="000000"/>
          <w:sz w:val="20"/>
          <w:szCs w:val="20"/>
        </w:rPr>
        <w:t>reference</w:t>
      </w:r>
      <w:proofErr w:type="gramEnd"/>
      <w:r>
        <w:rPr>
          <w:rFonts w:ascii="Arial" w:hAnsi="Arial" w:cs="Arial"/>
          <w:color w:val="000000"/>
          <w:sz w:val="20"/>
          <w:szCs w:val="20"/>
        </w:rPr>
        <w:t xml:space="preserve"> to investment in subordinated units of AIF Scheme includes all forms of subordinated exposures, including investment in the nature of sponsor units.</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 xml:space="preserve">(v) Investments </w:t>
      </w:r>
      <w:proofErr w:type="gramStart"/>
      <w:r>
        <w:rPr>
          <w:rFonts w:ascii="Arial" w:hAnsi="Arial" w:cs="Arial"/>
          <w:color w:val="000000"/>
          <w:sz w:val="20"/>
          <w:szCs w:val="20"/>
        </w:rPr>
        <w:t>by REs in AIFs through intermediaries such as fund of funds or mutual funds</w:t>
      </w:r>
      <w:proofErr w:type="gramEnd"/>
      <w:r>
        <w:rPr>
          <w:rFonts w:ascii="Arial" w:hAnsi="Arial" w:cs="Arial"/>
          <w:color w:val="000000"/>
          <w:sz w:val="20"/>
          <w:szCs w:val="20"/>
        </w:rPr>
        <w:t xml:space="preserve"> are not included in the scope of the Circular.</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 xml:space="preserve">3. The above instructions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34318F" w:rsidRDefault="0034318F" w:rsidP="0034318F">
      <w:pPr>
        <w:pStyle w:val="NormalWeb"/>
        <w:jc w:val="both"/>
        <w:rPr>
          <w:rFonts w:ascii="Arial" w:hAnsi="Arial" w:cs="Arial"/>
          <w:color w:val="000000"/>
          <w:sz w:val="20"/>
          <w:szCs w:val="20"/>
        </w:rPr>
      </w:pPr>
      <w:r>
        <w:rPr>
          <w:rFonts w:ascii="Arial" w:hAnsi="Arial" w:cs="Arial"/>
          <w:color w:val="000000"/>
          <w:sz w:val="20"/>
          <w:szCs w:val="20"/>
        </w:rPr>
        <w:t>Yours faithfully,</w:t>
      </w:r>
    </w:p>
    <w:p w:rsidR="0034318F" w:rsidRDefault="0034318F" w:rsidP="0034318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34318F" w:rsidRDefault="0034318F">
      <w:r w:rsidRPr="0034318F">
        <w:t>For more details, kindly refer:</w:t>
      </w:r>
    </w:p>
    <w:p w:rsidR="0034318F" w:rsidRDefault="0034318F">
      <w:hyperlink r:id="rId35" w:history="1">
        <w:r w:rsidRPr="00332F6B">
          <w:rPr>
            <w:rStyle w:val="Hyperlink"/>
          </w:rPr>
          <w:t>https://www.rbi.org.in/Scripts/NotificationUser.aspx?Id=12639&amp;Mode=0</w:t>
        </w:r>
      </w:hyperlink>
      <w:r>
        <w:t xml:space="preserve"> </w:t>
      </w:r>
    </w:p>
    <w:p w:rsidR="00B56C6C" w:rsidRDefault="00B56C6C"/>
    <w:p w:rsidR="00B56C6C" w:rsidRPr="00B56C6C" w:rsidRDefault="00B56C6C" w:rsidP="00B56C6C">
      <w:pPr>
        <w:spacing w:before="100" w:beforeAutospacing="1" w:after="100" w:afterAutospacing="1" w:line="240" w:lineRule="auto"/>
        <w:rPr>
          <w:rFonts w:ascii="Arial" w:eastAsia="Times New Roman" w:hAnsi="Arial" w:cs="Arial"/>
          <w:b/>
          <w:bCs/>
          <w:color w:val="000000"/>
          <w:sz w:val="20"/>
          <w:szCs w:val="20"/>
          <w:lang w:eastAsia="en-IN"/>
        </w:rPr>
      </w:pPr>
      <w:r w:rsidRPr="00B56C6C">
        <w:rPr>
          <w:rFonts w:ascii="Arial" w:eastAsia="Times New Roman" w:hAnsi="Arial" w:cs="Arial"/>
          <w:b/>
          <w:bCs/>
          <w:color w:val="000000"/>
          <w:sz w:val="20"/>
          <w:szCs w:val="20"/>
          <w:lang w:eastAsia="en-IN"/>
        </w:rPr>
        <w:lastRenderedPageBreak/>
        <w:t>Master Direction – Scheme of Penalties for bank branches and Currency Chests for deficiency in rendering customer service to the members of public</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RBI/DCM/2024-25/112</w:t>
      </w:r>
      <w:r w:rsidRPr="00B56C6C">
        <w:rPr>
          <w:rFonts w:ascii="Arial" w:eastAsia="Times New Roman" w:hAnsi="Arial" w:cs="Arial"/>
          <w:color w:val="000000"/>
          <w:sz w:val="20"/>
          <w:szCs w:val="20"/>
          <w:lang w:eastAsia="en-IN"/>
        </w:rPr>
        <w:br/>
        <w:t>DCM (CC) No.G-1/03.44.01/2024-25</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April 01, 2024</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The Chairman / Managing Director / Chief Executive Officer</w:t>
      </w:r>
      <w:r w:rsidRPr="00B56C6C">
        <w:rPr>
          <w:rFonts w:ascii="Arial" w:eastAsia="Times New Roman" w:hAnsi="Arial" w:cs="Arial"/>
          <w:color w:val="000000"/>
          <w:sz w:val="20"/>
          <w:szCs w:val="20"/>
          <w:lang w:eastAsia="en-IN"/>
        </w:rPr>
        <w:br/>
        <w:t>All banks</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Madam / Dear Sir,</w:t>
      </w:r>
    </w:p>
    <w:p w:rsidR="00B56C6C" w:rsidRPr="00B56C6C" w:rsidRDefault="00B56C6C" w:rsidP="00B56C6C">
      <w:pPr>
        <w:spacing w:before="100" w:beforeAutospacing="1" w:after="100" w:afterAutospacing="1" w:line="240" w:lineRule="auto"/>
        <w:rPr>
          <w:rFonts w:ascii="Arial" w:eastAsia="Times New Roman" w:hAnsi="Arial" w:cs="Arial"/>
          <w:b/>
          <w:bCs/>
          <w:color w:val="000000"/>
          <w:sz w:val="20"/>
          <w:szCs w:val="20"/>
          <w:lang w:eastAsia="en-IN"/>
        </w:rPr>
      </w:pPr>
      <w:r w:rsidRPr="00B56C6C">
        <w:rPr>
          <w:rFonts w:ascii="Arial" w:eastAsia="Times New Roman" w:hAnsi="Arial" w:cs="Arial"/>
          <w:b/>
          <w:bCs/>
          <w:color w:val="000000"/>
          <w:sz w:val="20"/>
          <w:szCs w:val="20"/>
          <w:lang w:eastAsia="en-IN"/>
        </w:rPr>
        <w:t>Master Direction – Scheme of Penalties for bank branches and Currency Chests for deficiency in rendering customer service to the members of public</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In terms of the Preamble to and Section 45 of the Reserve Bank of India Act, 1934 (RBI Act) and Section 35A of the Banking Regulation Act, 1949, Reserve Bank of India issues guidelines / instructions for realising the objectives of Clean Note Policy and enhancing the operational efficiency as part of currency management. In order to ensure that all bank branches provide proper customer service, the Bank has formulated a Scheme of Penalties for bank branches including Currency Chests, for deficiency in rendering customer service to the members of public.</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2. The enclosed </w:t>
      </w:r>
      <w:hyperlink r:id="rId36" w:anchor="ANN" w:history="1">
        <w:r w:rsidRPr="00B56C6C">
          <w:rPr>
            <w:rFonts w:ascii="Arial" w:eastAsia="Times New Roman" w:hAnsi="Arial" w:cs="Arial"/>
            <w:color w:val="0000FF"/>
            <w:sz w:val="20"/>
            <w:szCs w:val="20"/>
            <w:u w:val="single"/>
            <w:lang w:eastAsia="en-IN"/>
          </w:rPr>
          <w:t>Master Direction</w:t>
        </w:r>
      </w:hyperlink>
      <w:r w:rsidRPr="00B56C6C">
        <w:rPr>
          <w:rFonts w:ascii="Arial" w:eastAsia="Times New Roman" w:hAnsi="Arial" w:cs="Arial"/>
          <w:color w:val="000000"/>
          <w:sz w:val="20"/>
          <w:szCs w:val="20"/>
          <w:lang w:eastAsia="en-IN"/>
        </w:rPr>
        <w:t> incorporates updated guidelines / circulars on the subject.</w:t>
      </w:r>
    </w:p>
    <w:p w:rsidR="00B56C6C" w:rsidRPr="00B56C6C" w:rsidRDefault="00B56C6C" w:rsidP="00B56C6C">
      <w:pPr>
        <w:spacing w:before="100" w:beforeAutospacing="1" w:after="100" w:afterAutospacing="1" w:line="240" w:lineRule="auto"/>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Yours faithfully</w:t>
      </w:r>
    </w:p>
    <w:p w:rsidR="00B56C6C" w:rsidRDefault="00B56C6C" w:rsidP="00B56C6C">
      <w:pPr>
        <w:rPr>
          <w:rFonts w:ascii="Arial" w:eastAsia="Times New Roman" w:hAnsi="Arial" w:cs="Arial"/>
          <w:color w:val="000000"/>
          <w:sz w:val="20"/>
          <w:szCs w:val="20"/>
          <w:lang w:eastAsia="en-IN"/>
        </w:rPr>
      </w:pPr>
      <w:r w:rsidRPr="00B56C6C">
        <w:rPr>
          <w:rFonts w:ascii="Arial" w:eastAsia="Times New Roman" w:hAnsi="Arial" w:cs="Arial"/>
          <w:color w:val="000000"/>
          <w:sz w:val="20"/>
          <w:szCs w:val="20"/>
          <w:lang w:eastAsia="en-IN"/>
        </w:rPr>
        <w:t>(Sanjeev Prakash)</w:t>
      </w:r>
      <w:r w:rsidRPr="00B56C6C">
        <w:rPr>
          <w:rFonts w:ascii="Arial" w:eastAsia="Times New Roman" w:hAnsi="Arial" w:cs="Arial"/>
          <w:color w:val="000000"/>
          <w:sz w:val="20"/>
          <w:szCs w:val="20"/>
          <w:lang w:eastAsia="en-IN"/>
        </w:rPr>
        <w:br/>
        <w:t>Chief General Manager</w:t>
      </w:r>
    </w:p>
    <w:p w:rsidR="00B56C6C" w:rsidRDefault="00B56C6C" w:rsidP="00B56C6C">
      <w:r w:rsidRPr="00B56C6C">
        <w:t>For more details, kindly refer:</w:t>
      </w:r>
    </w:p>
    <w:p w:rsidR="00B56C6C" w:rsidRDefault="00B56C6C" w:rsidP="00B56C6C">
      <w:hyperlink r:id="rId37" w:history="1">
        <w:r w:rsidRPr="00332F6B">
          <w:rPr>
            <w:rStyle w:val="Hyperlink"/>
          </w:rPr>
          <w:t>https://www.rbi.org.in/Scripts/NotificationUser.aspx?Id=12645&amp;Mode=0</w:t>
        </w:r>
      </w:hyperlink>
      <w:r>
        <w:t xml:space="preserve"> </w:t>
      </w:r>
    </w:p>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Default="000D52BA" w:rsidP="00B56C6C"/>
    <w:p w:rsidR="000D52BA" w:rsidRPr="000D52BA" w:rsidRDefault="000D52BA" w:rsidP="000D52BA">
      <w:pPr>
        <w:spacing w:before="100" w:beforeAutospacing="1" w:after="100" w:afterAutospacing="1" w:line="240" w:lineRule="auto"/>
        <w:jc w:val="both"/>
        <w:rPr>
          <w:rFonts w:ascii="Arial" w:eastAsia="Times New Roman" w:hAnsi="Arial" w:cs="Arial"/>
          <w:b/>
          <w:bCs/>
          <w:color w:val="000000"/>
          <w:sz w:val="20"/>
          <w:szCs w:val="20"/>
          <w:lang w:eastAsia="en-IN"/>
        </w:rPr>
      </w:pPr>
      <w:r w:rsidRPr="000D52BA">
        <w:rPr>
          <w:rFonts w:ascii="Arial" w:eastAsia="Times New Roman" w:hAnsi="Arial" w:cs="Arial"/>
          <w:b/>
          <w:bCs/>
          <w:color w:val="000000"/>
          <w:sz w:val="20"/>
          <w:szCs w:val="20"/>
          <w:lang w:eastAsia="en-IN"/>
        </w:rPr>
        <w:lastRenderedPageBreak/>
        <w:t>Master Direction on Framework of incentives for Currency Distribution &amp; Exchange Scheme for bank branches including currency chests</w:t>
      </w:r>
    </w:p>
    <w:p w:rsidR="000D52BA" w:rsidRPr="000D52BA" w:rsidRDefault="000D52BA" w:rsidP="000D52BA">
      <w:pPr>
        <w:spacing w:before="100" w:beforeAutospacing="1" w:after="100" w:afterAutospacing="1" w:line="240" w:lineRule="auto"/>
        <w:jc w:val="both"/>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RBI/DCM/2024-25/113</w:t>
      </w:r>
      <w:r w:rsidRPr="000D52BA">
        <w:rPr>
          <w:rFonts w:ascii="Arial" w:eastAsia="Times New Roman" w:hAnsi="Arial" w:cs="Arial"/>
          <w:color w:val="000000"/>
          <w:sz w:val="20"/>
          <w:szCs w:val="20"/>
          <w:lang w:eastAsia="en-IN"/>
        </w:rPr>
        <w:br/>
        <w:t>DCM (CC) No.G-3/03.41.01/2024-25</w:t>
      </w:r>
    </w:p>
    <w:p w:rsidR="000D52BA" w:rsidRPr="000D52BA" w:rsidRDefault="000D52BA" w:rsidP="000D52BA">
      <w:pPr>
        <w:spacing w:before="100" w:beforeAutospacing="1" w:after="100" w:afterAutospacing="1" w:line="240" w:lineRule="auto"/>
        <w:jc w:val="right"/>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April 1, 2024</w:t>
      </w:r>
    </w:p>
    <w:p w:rsidR="000D52BA" w:rsidRPr="000D52BA" w:rsidRDefault="000D52BA" w:rsidP="000D52BA">
      <w:pPr>
        <w:spacing w:before="100" w:beforeAutospacing="1" w:after="100" w:afterAutospacing="1" w:line="240" w:lineRule="auto"/>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The Chairman / Managing Director / Chief Executive Officer</w:t>
      </w:r>
      <w:r w:rsidRPr="000D52BA">
        <w:rPr>
          <w:rFonts w:ascii="Arial" w:eastAsia="Times New Roman" w:hAnsi="Arial" w:cs="Arial"/>
          <w:color w:val="000000"/>
          <w:sz w:val="20"/>
          <w:szCs w:val="20"/>
          <w:lang w:eastAsia="en-IN"/>
        </w:rPr>
        <w:br/>
        <w:t>All banks</w:t>
      </w:r>
    </w:p>
    <w:p w:rsidR="000D52BA" w:rsidRPr="000D52BA" w:rsidRDefault="000D52BA" w:rsidP="000D52BA">
      <w:pPr>
        <w:spacing w:before="100" w:beforeAutospacing="1" w:after="100" w:afterAutospacing="1" w:line="240" w:lineRule="auto"/>
        <w:jc w:val="both"/>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Madam / Dear Sir,</w:t>
      </w:r>
    </w:p>
    <w:p w:rsidR="000D52BA" w:rsidRPr="000D52BA" w:rsidRDefault="000D52BA" w:rsidP="000D52BA">
      <w:pPr>
        <w:spacing w:before="100" w:beforeAutospacing="1" w:after="100" w:afterAutospacing="1" w:line="240" w:lineRule="auto"/>
        <w:jc w:val="both"/>
        <w:rPr>
          <w:rFonts w:ascii="Arial" w:eastAsia="Times New Roman" w:hAnsi="Arial" w:cs="Arial"/>
          <w:b/>
          <w:bCs/>
          <w:color w:val="000000"/>
          <w:sz w:val="20"/>
          <w:szCs w:val="20"/>
          <w:lang w:eastAsia="en-IN"/>
        </w:rPr>
      </w:pPr>
      <w:r w:rsidRPr="000D52BA">
        <w:rPr>
          <w:rFonts w:ascii="Arial" w:eastAsia="Times New Roman" w:hAnsi="Arial" w:cs="Arial"/>
          <w:b/>
          <w:bCs/>
          <w:color w:val="000000"/>
          <w:sz w:val="20"/>
          <w:szCs w:val="20"/>
          <w:lang w:eastAsia="en-IN"/>
        </w:rPr>
        <w:t>Master Direction on Framework of incentives for Currency Distribution &amp; Exchange Scheme for bank branches including currency chests</w:t>
      </w:r>
    </w:p>
    <w:p w:rsidR="000D52BA" w:rsidRPr="000D52BA" w:rsidRDefault="000D52BA" w:rsidP="000D52BA">
      <w:pPr>
        <w:spacing w:before="100" w:beforeAutospacing="1" w:after="100" w:afterAutospacing="1" w:line="240" w:lineRule="auto"/>
        <w:jc w:val="both"/>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furthering these objectives, the Bank has formulated a framework of incentives titled Currency Distribution and Exchange Scheme (CDES) to encourage all the bank branches to provide better customer services to the members of public.</w:t>
      </w:r>
    </w:p>
    <w:p w:rsidR="000D52BA" w:rsidRPr="000D52BA" w:rsidRDefault="000D52BA" w:rsidP="000D52BA">
      <w:pPr>
        <w:spacing w:before="100" w:beforeAutospacing="1" w:after="100" w:afterAutospacing="1" w:line="240" w:lineRule="auto"/>
        <w:jc w:val="both"/>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2. The enclosed </w:t>
      </w:r>
      <w:hyperlink r:id="rId38" w:anchor="MD1" w:history="1">
        <w:r w:rsidRPr="000D52BA">
          <w:rPr>
            <w:rFonts w:ascii="Arial" w:eastAsia="Times New Roman" w:hAnsi="Arial" w:cs="Arial"/>
            <w:color w:val="0000FF"/>
            <w:sz w:val="20"/>
            <w:szCs w:val="20"/>
            <w:u w:val="single"/>
            <w:lang w:eastAsia="en-IN"/>
          </w:rPr>
          <w:t>Master Direction</w:t>
        </w:r>
      </w:hyperlink>
      <w:r w:rsidRPr="000D52BA">
        <w:rPr>
          <w:rFonts w:ascii="Arial" w:eastAsia="Times New Roman" w:hAnsi="Arial" w:cs="Arial"/>
          <w:color w:val="000000"/>
          <w:sz w:val="20"/>
          <w:szCs w:val="20"/>
          <w:lang w:eastAsia="en-IN"/>
        </w:rPr>
        <w:t> incorporates updated guidelines / circulars on the subject.</w:t>
      </w:r>
    </w:p>
    <w:p w:rsidR="000D52BA" w:rsidRPr="000D52BA" w:rsidRDefault="000D52BA" w:rsidP="000D52BA">
      <w:pPr>
        <w:spacing w:before="100" w:beforeAutospacing="1" w:after="100" w:afterAutospacing="1" w:line="240" w:lineRule="auto"/>
        <w:jc w:val="both"/>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Yours faithfully,</w:t>
      </w:r>
    </w:p>
    <w:p w:rsidR="000D52BA" w:rsidRPr="000D52BA" w:rsidRDefault="000D52BA" w:rsidP="000D52BA">
      <w:pPr>
        <w:spacing w:before="100" w:beforeAutospacing="1" w:after="100" w:afterAutospacing="1" w:line="240" w:lineRule="auto"/>
        <w:rPr>
          <w:rFonts w:ascii="Arial" w:eastAsia="Times New Roman" w:hAnsi="Arial" w:cs="Arial"/>
          <w:color w:val="000000"/>
          <w:sz w:val="20"/>
          <w:szCs w:val="20"/>
          <w:lang w:eastAsia="en-IN"/>
        </w:rPr>
      </w:pPr>
      <w:r w:rsidRPr="000D52BA">
        <w:rPr>
          <w:rFonts w:ascii="Arial" w:eastAsia="Times New Roman" w:hAnsi="Arial" w:cs="Arial"/>
          <w:color w:val="000000"/>
          <w:sz w:val="20"/>
          <w:szCs w:val="20"/>
          <w:lang w:eastAsia="en-IN"/>
        </w:rPr>
        <w:t>(Sanjeev Prakash)</w:t>
      </w:r>
      <w:r w:rsidRPr="000D52BA">
        <w:rPr>
          <w:rFonts w:ascii="Arial" w:eastAsia="Times New Roman" w:hAnsi="Arial" w:cs="Arial"/>
          <w:color w:val="000000"/>
          <w:sz w:val="20"/>
          <w:szCs w:val="20"/>
          <w:lang w:eastAsia="en-IN"/>
        </w:rPr>
        <w:br/>
        <w:t>Chief General Manager</w:t>
      </w:r>
    </w:p>
    <w:p w:rsidR="000D52BA" w:rsidRDefault="000D52BA" w:rsidP="00B56C6C">
      <w:r w:rsidRPr="000D52BA">
        <w:t>For more details, kindly refer:</w:t>
      </w:r>
    </w:p>
    <w:p w:rsidR="000D52BA" w:rsidRDefault="000D52BA" w:rsidP="00B56C6C">
      <w:hyperlink r:id="rId39" w:history="1">
        <w:r w:rsidRPr="00332F6B">
          <w:rPr>
            <w:rStyle w:val="Hyperlink"/>
          </w:rPr>
          <w:t>https://www.rbi.org.in/Scripts/NotificationUser.aspx?Id=12646&amp;Mode=0</w:t>
        </w:r>
      </w:hyperlink>
      <w:r>
        <w:t xml:space="preserve"> </w:t>
      </w:r>
    </w:p>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Default="00310478" w:rsidP="00B56C6C"/>
    <w:p w:rsidR="00310478" w:rsidRPr="00310478" w:rsidRDefault="00310478" w:rsidP="00310478">
      <w:pPr>
        <w:spacing w:before="100" w:beforeAutospacing="1" w:after="100" w:afterAutospacing="1" w:line="240" w:lineRule="auto"/>
        <w:jc w:val="both"/>
        <w:rPr>
          <w:rFonts w:ascii="Arial" w:eastAsia="Times New Roman" w:hAnsi="Arial" w:cs="Arial"/>
          <w:b/>
          <w:bCs/>
          <w:color w:val="000000"/>
          <w:sz w:val="20"/>
          <w:szCs w:val="20"/>
          <w:lang w:eastAsia="en-IN"/>
        </w:rPr>
      </w:pPr>
      <w:r w:rsidRPr="00310478">
        <w:rPr>
          <w:rFonts w:ascii="Arial" w:eastAsia="Times New Roman" w:hAnsi="Arial" w:cs="Arial"/>
          <w:b/>
          <w:bCs/>
          <w:color w:val="000000"/>
          <w:sz w:val="20"/>
          <w:szCs w:val="20"/>
          <w:lang w:eastAsia="en-IN"/>
        </w:rPr>
        <w:lastRenderedPageBreak/>
        <w:t>Master Direction on Penal Provisions in reporting of transactions / balances at Currency Chests</w:t>
      </w:r>
    </w:p>
    <w:p w:rsidR="00310478" w:rsidRPr="00310478" w:rsidRDefault="00310478" w:rsidP="00310478">
      <w:pPr>
        <w:spacing w:before="100" w:beforeAutospacing="1" w:after="100" w:afterAutospacing="1" w:line="240" w:lineRule="auto"/>
        <w:jc w:val="both"/>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RBI/DCM/2024-25/114</w:t>
      </w:r>
      <w:r w:rsidRPr="00310478">
        <w:rPr>
          <w:rFonts w:ascii="Arial" w:eastAsia="Times New Roman" w:hAnsi="Arial" w:cs="Arial"/>
          <w:color w:val="000000"/>
          <w:sz w:val="20"/>
          <w:szCs w:val="20"/>
          <w:lang w:eastAsia="en-IN"/>
        </w:rPr>
        <w:br/>
        <w:t>DCM (CC) No.G-2/03.35.01/2024-25</w:t>
      </w:r>
    </w:p>
    <w:p w:rsidR="00310478" w:rsidRPr="00310478" w:rsidRDefault="00310478" w:rsidP="00310478">
      <w:pPr>
        <w:spacing w:before="100" w:beforeAutospacing="1" w:after="100" w:afterAutospacing="1" w:line="240" w:lineRule="auto"/>
        <w:jc w:val="right"/>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April 01, 2024</w:t>
      </w:r>
    </w:p>
    <w:p w:rsidR="00310478" w:rsidRPr="00310478" w:rsidRDefault="00310478" w:rsidP="00310478">
      <w:pPr>
        <w:spacing w:before="100" w:beforeAutospacing="1" w:after="100" w:afterAutospacing="1" w:line="240" w:lineRule="auto"/>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 xml:space="preserve">The Chairman / Managing Director / Chief Executive </w:t>
      </w:r>
      <w:proofErr w:type="gramStart"/>
      <w:r w:rsidRPr="00310478">
        <w:rPr>
          <w:rFonts w:ascii="Arial" w:eastAsia="Times New Roman" w:hAnsi="Arial" w:cs="Arial"/>
          <w:color w:val="000000"/>
          <w:sz w:val="20"/>
          <w:szCs w:val="20"/>
          <w:lang w:eastAsia="en-IN"/>
        </w:rPr>
        <w:t>Officer</w:t>
      </w:r>
      <w:proofErr w:type="gramEnd"/>
      <w:r w:rsidRPr="00310478">
        <w:rPr>
          <w:rFonts w:ascii="Arial" w:eastAsia="Times New Roman" w:hAnsi="Arial" w:cs="Arial"/>
          <w:color w:val="000000"/>
          <w:sz w:val="20"/>
          <w:szCs w:val="20"/>
          <w:lang w:eastAsia="en-IN"/>
        </w:rPr>
        <w:br/>
        <w:t>(All banks having Currency Chests)</w:t>
      </w:r>
    </w:p>
    <w:p w:rsidR="00310478" w:rsidRPr="00310478" w:rsidRDefault="00310478" w:rsidP="00310478">
      <w:pPr>
        <w:spacing w:before="100" w:beforeAutospacing="1" w:after="100" w:afterAutospacing="1" w:line="240" w:lineRule="auto"/>
        <w:jc w:val="both"/>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Madam / Dear Sir,</w:t>
      </w:r>
    </w:p>
    <w:p w:rsidR="00310478" w:rsidRPr="00310478" w:rsidRDefault="00310478" w:rsidP="00310478">
      <w:pPr>
        <w:spacing w:before="100" w:beforeAutospacing="1" w:after="100" w:afterAutospacing="1" w:line="240" w:lineRule="auto"/>
        <w:jc w:val="both"/>
        <w:rPr>
          <w:rFonts w:ascii="Arial" w:eastAsia="Times New Roman" w:hAnsi="Arial" w:cs="Arial"/>
          <w:b/>
          <w:bCs/>
          <w:color w:val="000000"/>
          <w:sz w:val="20"/>
          <w:szCs w:val="20"/>
          <w:lang w:eastAsia="en-IN"/>
        </w:rPr>
      </w:pPr>
      <w:r w:rsidRPr="00310478">
        <w:rPr>
          <w:rFonts w:ascii="Arial" w:eastAsia="Times New Roman" w:hAnsi="Arial" w:cs="Arial"/>
          <w:b/>
          <w:bCs/>
          <w:color w:val="000000"/>
          <w:sz w:val="20"/>
          <w:szCs w:val="20"/>
          <w:lang w:eastAsia="en-IN"/>
        </w:rPr>
        <w:t>Master Direction on Penal Provisions in reporting of transactions / balances at Currency Chests</w:t>
      </w:r>
    </w:p>
    <w:p w:rsidR="00310478" w:rsidRPr="00310478" w:rsidRDefault="00310478" w:rsidP="00310478">
      <w:pPr>
        <w:spacing w:before="100" w:beforeAutospacing="1" w:after="100" w:afterAutospacing="1" w:line="240" w:lineRule="auto"/>
        <w:jc w:val="both"/>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 xml:space="preserve">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sustain these efforts and to ensure timely and accurate reporting of currency chest transactions, instructions on the subject </w:t>
      </w:r>
      <w:proofErr w:type="gramStart"/>
      <w:r w:rsidRPr="00310478">
        <w:rPr>
          <w:rFonts w:ascii="Arial" w:eastAsia="Times New Roman" w:hAnsi="Arial" w:cs="Arial"/>
          <w:color w:val="000000"/>
          <w:sz w:val="20"/>
          <w:szCs w:val="20"/>
          <w:lang w:eastAsia="en-IN"/>
        </w:rPr>
        <w:t>have been issued</w:t>
      </w:r>
      <w:proofErr w:type="gramEnd"/>
      <w:r w:rsidRPr="00310478">
        <w:rPr>
          <w:rFonts w:ascii="Arial" w:eastAsia="Times New Roman" w:hAnsi="Arial" w:cs="Arial"/>
          <w:color w:val="000000"/>
          <w:sz w:val="20"/>
          <w:szCs w:val="20"/>
          <w:lang w:eastAsia="en-IN"/>
        </w:rPr>
        <w:t xml:space="preserve"> from time to time.</w:t>
      </w:r>
    </w:p>
    <w:p w:rsidR="00310478" w:rsidRPr="00310478" w:rsidRDefault="00310478" w:rsidP="00310478">
      <w:pPr>
        <w:spacing w:before="100" w:beforeAutospacing="1" w:after="100" w:afterAutospacing="1" w:line="240" w:lineRule="auto"/>
        <w:jc w:val="both"/>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2. The enclosed </w:t>
      </w:r>
      <w:hyperlink r:id="rId40" w:anchor="MD1" w:history="1">
        <w:r w:rsidRPr="00310478">
          <w:rPr>
            <w:rFonts w:ascii="Arial" w:eastAsia="Times New Roman" w:hAnsi="Arial" w:cs="Arial"/>
            <w:color w:val="0000FF"/>
            <w:sz w:val="20"/>
            <w:szCs w:val="20"/>
            <w:u w:val="single"/>
            <w:lang w:eastAsia="en-IN"/>
          </w:rPr>
          <w:t>Master Direction</w:t>
        </w:r>
      </w:hyperlink>
      <w:r w:rsidRPr="00310478">
        <w:rPr>
          <w:rFonts w:ascii="Arial" w:eastAsia="Times New Roman" w:hAnsi="Arial" w:cs="Arial"/>
          <w:color w:val="000000"/>
          <w:sz w:val="20"/>
          <w:szCs w:val="20"/>
          <w:lang w:eastAsia="en-IN"/>
        </w:rPr>
        <w:t> incorporates updated guidelines / circulars on the subject.</w:t>
      </w:r>
    </w:p>
    <w:p w:rsidR="00310478" w:rsidRPr="00310478" w:rsidRDefault="00310478" w:rsidP="00310478">
      <w:pPr>
        <w:spacing w:before="100" w:beforeAutospacing="1" w:after="100" w:afterAutospacing="1" w:line="240" w:lineRule="auto"/>
        <w:jc w:val="both"/>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Yours faithfully,</w:t>
      </w:r>
    </w:p>
    <w:p w:rsidR="00310478" w:rsidRDefault="00310478" w:rsidP="00310478">
      <w:pPr>
        <w:spacing w:before="100" w:beforeAutospacing="1" w:after="100" w:afterAutospacing="1" w:line="240" w:lineRule="auto"/>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(Sanjeev Prakash)</w:t>
      </w:r>
      <w:r w:rsidRPr="00310478">
        <w:rPr>
          <w:rFonts w:ascii="Arial" w:eastAsia="Times New Roman" w:hAnsi="Arial" w:cs="Arial"/>
          <w:color w:val="000000"/>
          <w:sz w:val="20"/>
          <w:szCs w:val="20"/>
          <w:lang w:eastAsia="en-IN"/>
        </w:rPr>
        <w:br/>
        <w:t>Chief General Manager</w:t>
      </w:r>
    </w:p>
    <w:p w:rsidR="00310478" w:rsidRDefault="00310478" w:rsidP="00310478">
      <w:pPr>
        <w:spacing w:before="100" w:beforeAutospacing="1" w:after="100" w:afterAutospacing="1" w:line="240" w:lineRule="auto"/>
        <w:rPr>
          <w:rFonts w:ascii="Arial" w:eastAsia="Times New Roman" w:hAnsi="Arial" w:cs="Arial"/>
          <w:color w:val="000000"/>
          <w:sz w:val="20"/>
          <w:szCs w:val="20"/>
          <w:lang w:eastAsia="en-IN"/>
        </w:rPr>
      </w:pPr>
      <w:r w:rsidRPr="00310478">
        <w:rPr>
          <w:rFonts w:ascii="Arial" w:eastAsia="Times New Roman" w:hAnsi="Arial" w:cs="Arial"/>
          <w:color w:val="000000"/>
          <w:sz w:val="20"/>
          <w:szCs w:val="20"/>
          <w:lang w:eastAsia="en-IN"/>
        </w:rPr>
        <w:t>For more details, kindly refer:</w:t>
      </w:r>
    </w:p>
    <w:p w:rsidR="00310478" w:rsidRPr="00310478" w:rsidRDefault="00310478" w:rsidP="00310478">
      <w:pPr>
        <w:spacing w:before="100" w:beforeAutospacing="1" w:after="100" w:afterAutospacing="1" w:line="240" w:lineRule="auto"/>
        <w:rPr>
          <w:rFonts w:ascii="Arial" w:eastAsia="Times New Roman" w:hAnsi="Arial" w:cs="Arial"/>
          <w:color w:val="000000"/>
          <w:sz w:val="20"/>
          <w:szCs w:val="20"/>
          <w:lang w:eastAsia="en-IN"/>
        </w:rPr>
      </w:pPr>
      <w:hyperlink r:id="rId41" w:history="1">
        <w:r w:rsidRPr="00332F6B">
          <w:rPr>
            <w:rStyle w:val="Hyperlink"/>
            <w:rFonts w:ascii="Arial" w:eastAsia="Times New Roman" w:hAnsi="Arial" w:cs="Arial"/>
            <w:sz w:val="20"/>
            <w:szCs w:val="20"/>
            <w:lang w:eastAsia="en-IN"/>
          </w:rPr>
          <w:t>https://www.rbi.org.in/Scripts/NotificationUser.aspx?Id=12648&amp;Mode=0</w:t>
        </w:r>
      </w:hyperlink>
      <w:r>
        <w:rPr>
          <w:rFonts w:ascii="Arial" w:eastAsia="Times New Roman" w:hAnsi="Arial" w:cs="Arial"/>
          <w:color w:val="000000"/>
          <w:sz w:val="20"/>
          <w:szCs w:val="20"/>
          <w:lang w:eastAsia="en-IN"/>
        </w:rPr>
        <w:t xml:space="preserve"> </w:t>
      </w:r>
    </w:p>
    <w:p w:rsidR="00310478" w:rsidRDefault="00310478"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Default="00B93FDD" w:rsidP="00B56C6C"/>
    <w:p w:rsidR="00B93FDD" w:rsidRPr="00B93FDD" w:rsidRDefault="00B93FDD" w:rsidP="00B93FDD">
      <w:pPr>
        <w:spacing w:before="100" w:beforeAutospacing="1" w:after="100" w:afterAutospacing="1" w:line="240" w:lineRule="auto"/>
        <w:jc w:val="both"/>
        <w:rPr>
          <w:rFonts w:ascii="Arial" w:eastAsia="Times New Roman" w:hAnsi="Arial" w:cs="Arial"/>
          <w:b/>
          <w:bCs/>
          <w:color w:val="000000"/>
          <w:sz w:val="20"/>
          <w:szCs w:val="20"/>
          <w:lang w:eastAsia="en-IN"/>
        </w:rPr>
      </w:pPr>
      <w:r w:rsidRPr="00B93FDD">
        <w:rPr>
          <w:rFonts w:ascii="Arial" w:eastAsia="Times New Roman" w:hAnsi="Arial" w:cs="Arial"/>
          <w:b/>
          <w:bCs/>
          <w:color w:val="000000"/>
          <w:sz w:val="20"/>
          <w:szCs w:val="20"/>
          <w:lang w:eastAsia="en-IN"/>
        </w:rPr>
        <w:lastRenderedPageBreak/>
        <w:t>Master Circular - Disbursement of Government Pension by Agency Banks</w:t>
      </w:r>
    </w:p>
    <w:p w:rsidR="00B93FDD" w:rsidRPr="00B93FDD" w:rsidRDefault="00B93FDD" w:rsidP="00B93FDD">
      <w:pPr>
        <w:spacing w:before="100" w:beforeAutospacing="1" w:after="100" w:afterAutospacing="1" w:line="240" w:lineRule="auto"/>
        <w:jc w:val="both"/>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RBI/2024-25/06</w:t>
      </w:r>
      <w:r w:rsidRPr="00B93FDD">
        <w:rPr>
          <w:rFonts w:ascii="Arial" w:eastAsia="Times New Roman" w:hAnsi="Arial" w:cs="Arial"/>
          <w:color w:val="000000"/>
          <w:sz w:val="20"/>
          <w:szCs w:val="20"/>
          <w:lang w:eastAsia="en-IN"/>
        </w:rPr>
        <w:br/>
        <w:t>DGBA.GBD.No.S1/31.02.007/2024-25</w:t>
      </w:r>
    </w:p>
    <w:p w:rsidR="00B93FDD" w:rsidRPr="00B93FDD" w:rsidRDefault="00B93FDD" w:rsidP="00B93FDD">
      <w:pPr>
        <w:spacing w:before="100" w:beforeAutospacing="1" w:after="100" w:afterAutospacing="1" w:line="240" w:lineRule="auto"/>
        <w:jc w:val="right"/>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April 01, 2024</w:t>
      </w:r>
    </w:p>
    <w:p w:rsidR="00B93FDD" w:rsidRPr="00B93FDD" w:rsidRDefault="00B93FDD" w:rsidP="00B93FDD">
      <w:pPr>
        <w:spacing w:before="100" w:beforeAutospacing="1" w:after="100" w:afterAutospacing="1" w:line="240" w:lineRule="auto"/>
        <w:jc w:val="both"/>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All Agency Banks</w:t>
      </w:r>
    </w:p>
    <w:p w:rsidR="00B93FDD" w:rsidRPr="00B93FDD" w:rsidRDefault="00B93FDD" w:rsidP="00B93FDD">
      <w:pPr>
        <w:spacing w:before="100" w:beforeAutospacing="1" w:after="100" w:afterAutospacing="1" w:line="240" w:lineRule="auto"/>
        <w:jc w:val="both"/>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Madam/Dear Sir</w:t>
      </w:r>
    </w:p>
    <w:p w:rsidR="00B93FDD" w:rsidRPr="00B93FDD" w:rsidRDefault="00B93FDD" w:rsidP="00B93FDD">
      <w:pPr>
        <w:spacing w:before="100" w:beforeAutospacing="1" w:after="100" w:afterAutospacing="1" w:line="240" w:lineRule="auto"/>
        <w:jc w:val="both"/>
        <w:rPr>
          <w:rFonts w:ascii="Arial" w:eastAsia="Times New Roman" w:hAnsi="Arial" w:cs="Arial"/>
          <w:b/>
          <w:bCs/>
          <w:color w:val="000000"/>
          <w:sz w:val="20"/>
          <w:szCs w:val="20"/>
          <w:lang w:eastAsia="en-IN"/>
        </w:rPr>
      </w:pPr>
      <w:r w:rsidRPr="00B93FDD">
        <w:rPr>
          <w:rFonts w:ascii="Arial" w:eastAsia="Times New Roman" w:hAnsi="Arial" w:cs="Arial"/>
          <w:b/>
          <w:bCs/>
          <w:color w:val="000000"/>
          <w:sz w:val="20"/>
          <w:szCs w:val="20"/>
          <w:lang w:eastAsia="en-IN"/>
        </w:rPr>
        <w:t>Master Circular - Disbursement of Government Pension by Agency Banks</w:t>
      </w:r>
    </w:p>
    <w:p w:rsidR="00B93FDD" w:rsidRPr="00B93FDD" w:rsidRDefault="00B93FDD" w:rsidP="00B93FDD">
      <w:pPr>
        <w:spacing w:before="100" w:beforeAutospacing="1" w:after="100" w:afterAutospacing="1" w:line="240" w:lineRule="auto"/>
        <w:jc w:val="both"/>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Please refer to our </w:t>
      </w:r>
      <w:hyperlink r:id="rId42" w:tgtFrame="_blank" w:history="1">
        <w:r w:rsidRPr="00B93FDD">
          <w:rPr>
            <w:rFonts w:ascii="Arial" w:eastAsia="Times New Roman" w:hAnsi="Arial" w:cs="Arial"/>
            <w:color w:val="0000FF"/>
            <w:sz w:val="20"/>
            <w:szCs w:val="20"/>
            <w:u w:val="single"/>
            <w:lang w:eastAsia="en-IN"/>
          </w:rPr>
          <w:t>Master Circular RBI/2023-24/10 dated April 03, 2023</w:t>
        </w:r>
      </w:hyperlink>
      <w:r w:rsidRPr="00B93FDD">
        <w:rPr>
          <w:rFonts w:ascii="Arial" w:eastAsia="Times New Roman" w:hAnsi="Arial" w:cs="Arial"/>
          <w:color w:val="000000"/>
          <w:sz w:val="20"/>
          <w:szCs w:val="20"/>
          <w:lang w:eastAsia="en-IN"/>
        </w:rPr>
        <w:t xml:space="preserve"> on the above subject. We have revised and updated the Master </w:t>
      </w:r>
      <w:proofErr w:type="gramStart"/>
      <w:r w:rsidRPr="00B93FDD">
        <w:rPr>
          <w:rFonts w:ascii="Arial" w:eastAsia="Times New Roman" w:hAnsi="Arial" w:cs="Arial"/>
          <w:color w:val="000000"/>
          <w:sz w:val="20"/>
          <w:szCs w:val="20"/>
          <w:lang w:eastAsia="en-IN"/>
        </w:rPr>
        <w:t>Circular which</w:t>
      </w:r>
      <w:proofErr w:type="gramEnd"/>
      <w:r w:rsidRPr="00B93FDD">
        <w:rPr>
          <w:rFonts w:ascii="Arial" w:eastAsia="Times New Roman" w:hAnsi="Arial" w:cs="Arial"/>
          <w:color w:val="000000"/>
          <w:sz w:val="20"/>
          <w:szCs w:val="20"/>
          <w:lang w:eastAsia="en-IN"/>
        </w:rPr>
        <w:t xml:space="preserve"> consolidates important instructions on the subject issued by the Reserve Bank of India till March 31, 2024.</w:t>
      </w:r>
    </w:p>
    <w:p w:rsidR="00B93FDD" w:rsidRPr="00B93FDD" w:rsidRDefault="00B93FDD" w:rsidP="00B93FDD">
      <w:pPr>
        <w:spacing w:before="100" w:beforeAutospacing="1" w:after="100" w:afterAutospacing="1" w:line="240" w:lineRule="auto"/>
        <w:jc w:val="both"/>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2. A copy of the revised </w:t>
      </w:r>
      <w:hyperlink r:id="rId43" w:anchor="MC" w:history="1">
        <w:r w:rsidRPr="00B93FDD">
          <w:rPr>
            <w:rFonts w:ascii="Arial" w:eastAsia="Times New Roman" w:hAnsi="Arial" w:cs="Arial"/>
            <w:color w:val="0000FF"/>
            <w:sz w:val="20"/>
            <w:szCs w:val="20"/>
            <w:u w:val="single"/>
            <w:lang w:eastAsia="en-IN"/>
          </w:rPr>
          <w:t>Master Circular</w:t>
        </w:r>
      </w:hyperlink>
      <w:r w:rsidRPr="00B93FDD">
        <w:rPr>
          <w:rFonts w:ascii="Arial" w:eastAsia="Times New Roman" w:hAnsi="Arial" w:cs="Arial"/>
          <w:color w:val="000000"/>
          <w:sz w:val="20"/>
          <w:szCs w:val="20"/>
          <w:lang w:eastAsia="en-IN"/>
        </w:rPr>
        <w:t> </w:t>
      </w:r>
      <w:proofErr w:type="gramStart"/>
      <w:r w:rsidRPr="00B93FDD">
        <w:rPr>
          <w:rFonts w:ascii="Arial" w:eastAsia="Times New Roman" w:hAnsi="Arial" w:cs="Arial"/>
          <w:color w:val="000000"/>
          <w:sz w:val="20"/>
          <w:szCs w:val="20"/>
          <w:lang w:eastAsia="en-IN"/>
        </w:rPr>
        <w:t>is enclosed</w:t>
      </w:r>
      <w:proofErr w:type="gramEnd"/>
      <w:r w:rsidRPr="00B93FDD">
        <w:rPr>
          <w:rFonts w:ascii="Arial" w:eastAsia="Times New Roman" w:hAnsi="Arial" w:cs="Arial"/>
          <w:color w:val="000000"/>
          <w:sz w:val="20"/>
          <w:szCs w:val="20"/>
          <w:lang w:eastAsia="en-IN"/>
        </w:rPr>
        <w:t xml:space="preserve"> for your information. This circular </w:t>
      </w:r>
      <w:proofErr w:type="gramStart"/>
      <w:r w:rsidRPr="00B93FDD">
        <w:rPr>
          <w:rFonts w:ascii="Arial" w:eastAsia="Times New Roman" w:hAnsi="Arial" w:cs="Arial"/>
          <w:color w:val="000000"/>
          <w:sz w:val="20"/>
          <w:szCs w:val="20"/>
          <w:lang w:eastAsia="en-IN"/>
        </w:rPr>
        <w:t>may also be downloaded</w:t>
      </w:r>
      <w:proofErr w:type="gramEnd"/>
      <w:r w:rsidRPr="00B93FDD">
        <w:rPr>
          <w:rFonts w:ascii="Arial" w:eastAsia="Times New Roman" w:hAnsi="Arial" w:cs="Arial"/>
          <w:color w:val="000000"/>
          <w:sz w:val="20"/>
          <w:szCs w:val="20"/>
          <w:lang w:eastAsia="en-IN"/>
        </w:rPr>
        <w:t xml:space="preserve"> from our website </w:t>
      </w:r>
      <w:hyperlink r:id="rId44" w:tgtFrame="_blank" w:history="1">
        <w:r w:rsidRPr="00B93FDD">
          <w:rPr>
            <w:rFonts w:ascii="Arial" w:eastAsia="Times New Roman" w:hAnsi="Arial" w:cs="Arial"/>
            <w:color w:val="0000FF"/>
            <w:sz w:val="20"/>
            <w:szCs w:val="20"/>
            <w:u w:val="single"/>
            <w:lang w:eastAsia="en-IN"/>
          </w:rPr>
          <w:t>https://mastercirculars.rbi.org.in</w:t>
        </w:r>
      </w:hyperlink>
      <w:r w:rsidRPr="00B93FDD">
        <w:rPr>
          <w:rFonts w:ascii="Arial" w:eastAsia="Times New Roman" w:hAnsi="Arial" w:cs="Arial"/>
          <w:color w:val="000000"/>
          <w:sz w:val="20"/>
          <w:szCs w:val="20"/>
          <w:lang w:eastAsia="en-IN"/>
        </w:rPr>
        <w:t>.</w:t>
      </w:r>
    </w:p>
    <w:p w:rsidR="00B93FDD" w:rsidRPr="00B93FDD" w:rsidRDefault="00B93FDD" w:rsidP="00B93FDD">
      <w:pPr>
        <w:spacing w:before="100" w:beforeAutospacing="1" w:after="100" w:afterAutospacing="1" w:line="240" w:lineRule="auto"/>
        <w:jc w:val="both"/>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Yours faithfully</w:t>
      </w:r>
    </w:p>
    <w:p w:rsidR="00B93FDD" w:rsidRPr="00B93FDD" w:rsidRDefault="00B93FDD" w:rsidP="00B93FDD">
      <w:pPr>
        <w:spacing w:before="100" w:beforeAutospacing="1" w:after="100" w:afterAutospacing="1" w:line="240" w:lineRule="auto"/>
        <w:rPr>
          <w:rFonts w:ascii="Arial" w:eastAsia="Times New Roman" w:hAnsi="Arial" w:cs="Arial"/>
          <w:color w:val="000000"/>
          <w:sz w:val="20"/>
          <w:szCs w:val="20"/>
          <w:lang w:eastAsia="en-IN"/>
        </w:rPr>
      </w:pPr>
      <w:r w:rsidRPr="00B93FDD">
        <w:rPr>
          <w:rFonts w:ascii="Arial" w:eastAsia="Times New Roman" w:hAnsi="Arial" w:cs="Arial"/>
          <w:color w:val="000000"/>
          <w:sz w:val="20"/>
          <w:szCs w:val="20"/>
          <w:lang w:eastAsia="en-IN"/>
        </w:rPr>
        <w:t>(</w:t>
      </w:r>
      <w:proofErr w:type="spellStart"/>
      <w:r w:rsidRPr="00B93FDD">
        <w:rPr>
          <w:rFonts w:ascii="Arial" w:eastAsia="Times New Roman" w:hAnsi="Arial" w:cs="Arial"/>
          <w:color w:val="000000"/>
          <w:sz w:val="20"/>
          <w:szCs w:val="20"/>
          <w:lang w:eastAsia="en-IN"/>
        </w:rPr>
        <w:t>Indranil</w:t>
      </w:r>
      <w:proofErr w:type="spellEnd"/>
      <w:r w:rsidRPr="00B93FDD">
        <w:rPr>
          <w:rFonts w:ascii="Arial" w:eastAsia="Times New Roman" w:hAnsi="Arial" w:cs="Arial"/>
          <w:color w:val="000000"/>
          <w:sz w:val="20"/>
          <w:szCs w:val="20"/>
          <w:lang w:eastAsia="en-IN"/>
        </w:rPr>
        <w:t xml:space="preserve"> Chakraborty)</w:t>
      </w:r>
      <w:r w:rsidRPr="00B93FDD">
        <w:rPr>
          <w:rFonts w:ascii="Arial" w:eastAsia="Times New Roman" w:hAnsi="Arial" w:cs="Arial"/>
          <w:color w:val="000000"/>
          <w:sz w:val="20"/>
          <w:szCs w:val="20"/>
          <w:lang w:eastAsia="en-IN"/>
        </w:rPr>
        <w:br/>
        <w:t>Chief General Manager</w:t>
      </w:r>
    </w:p>
    <w:p w:rsidR="00B93FDD" w:rsidRDefault="00B93FDD" w:rsidP="00B56C6C">
      <w:r w:rsidRPr="00B93FDD">
        <w:t>For more details, kindly refer:</w:t>
      </w:r>
      <w:r>
        <w:t xml:space="preserve"> </w:t>
      </w:r>
    </w:p>
    <w:p w:rsidR="00B93FDD" w:rsidRDefault="00B93FDD" w:rsidP="00B56C6C">
      <w:hyperlink r:id="rId45" w:history="1">
        <w:r w:rsidRPr="00332F6B">
          <w:rPr>
            <w:rStyle w:val="Hyperlink"/>
          </w:rPr>
          <w:t>https://www.rbi.org.in/Scripts/NotificationUser.aspx?Id=12650&amp;Mode=0</w:t>
        </w:r>
      </w:hyperlink>
      <w:r>
        <w:t xml:space="preserve"> </w:t>
      </w:r>
    </w:p>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Default="0071734B" w:rsidP="00B56C6C"/>
    <w:p w:rsidR="0071734B" w:rsidRPr="0071734B" w:rsidRDefault="0071734B" w:rsidP="0071734B">
      <w:pPr>
        <w:spacing w:before="100" w:beforeAutospacing="1" w:after="100" w:afterAutospacing="1" w:line="240" w:lineRule="auto"/>
        <w:jc w:val="both"/>
        <w:rPr>
          <w:rFonts w:ascii="Arial" w:eastAsia="Times New Roman" w:hAnsi="Arial" w:cs="Arial"/>
          <w:b/>
          <w:bCs/>
          <w:color w:val="000000"/>
          <w:sz w:val="20"/>
          <w:szCs w:val="20"/>
          <w:lang w:eastAsia="en-IN"/>
        </w:rPr>
      </w:pPr>
      <w:r w:rsidRPr="0071734B">
        <w:rPr>
          <w:rFonts w:ascii="Arial" w:eastAsia="Times New Roman" w:hAnsi="Arial" w:cs="Arial"/>
          <w:b/>
          <w:bCs/>
          <w:color w:val="000000"/>
          <w:sz w:val="20"/>
          <w:szCs w:val="20"/>
          <w:lang w:eastAsia="en-IN"/>
        </w:rPr>
        <w:lastRenderedPageBreak/>
        <w:t>Master Circular on Conduct of Government Business by Agency Banks - Payment of Agency Commission</w:t>
      </w:r>
    </w:p>
    <w:p w:rsidR="0071734B" w:rsidRPr="0071734B" w:rsidRDefault="0071734B" w:rsidP="0071734B">
      <w:pPr>
        <w:spacing w:before="100" w:beforeAutospacing="1" w:after="100" w:afterAutospacing="1" w:line="240" w:lineRule="auto"/>
        <w:jc w:val="both"/>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RBI/2024-25/07</w:t>
      </w:r>
      <w:r w:rsidRPr="0071734B">
        <w:rPr>
          <w:rFonts w:ascii="Arial" w:eastAsia="Times New Roman" w:hAnsi="Arial" w:cs="Arial"/>
          <w:color w:val="000000"/>
          <w:sz w:val="20"/>
          <w:szCs w:val="20"/>
          <w:lang w:eastAsia="en-IN"/>
        </w:rPr>
        <w:br/>
        <w:t>CO.DGBA.GBD.No.S2/31-12-010/2024-2025</w:t>
      </w:r>
    </w:p>
    <w:p w:rsidR="0071734B" w:rsidRPr="0071734B" w:rsidRDefault="0071734B" w:rsidP="0071734B">
      <w:pPr>
        <w:spacing w:before="100" w:beforeAutospacing="1" w:after="100" w:afterAutospacing="1" w:line="240" w:lineRule="auto"/>
        <w:jc w:val="right"/>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April 1, 2024</w:t>
      </w:r>
    </w:p>
    <w:p w:rsidR="0071734B" w:rsidRPr="0071734B" w:rsidRDefault="0071734B" w:rsidP="0071734B">
      <w:pPr>
        <w:spacing w:before="100" w:beforeAutospacing="1" w:after="100" w:afterAutospacing="1" w:line="240" w:lineRule="auto"/>
        <w:jc w:val="both"/>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All Agency Banks</w:t>
      </w:r>
    </w:p>
    <w:p w:rsidR="0071734B" w:rsidRPr="0071734B" w:rsidRDefault="0071734B" w:rsidP="0071734B">
      <w:pPr>
        <w:spacing w:before="100" w:beforeAutospacing="1" w:after="100" w:afterAutospacing="1" w:line="240" w:lineRule="auto"/>
        <w:jc w:val="both"/>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Madam / Dear Sir</w:t>
      </w:r>
    </w:p>
    <w:p w:rsidR="0071734B" w:rsidRPr="0071734B" w:rsidRDefault="0071734B" w:rsidP="0071734B">
      <w:pPr>
        <w:spacing w:before="100" w:beforeAutospacing="1" w:after="100" w:afterAutospacing="1" w:line="240" w:lineRule="auto"/>
        <w:jc w:val="both"/>
        <w:rPr>
          <w:rFonts w:ascii="Arial" w:eastAsia="Times New Roman" w:hAnsi="Arial" w:cs="Arial"/>
          <w:b/>
          <w:bCs/>
          <w:color w:val="000000"/>
          <w:sz w:val="20"/>
          <w:szCs w:val="20"/>
          <w:lang w:eastAsia="en-IN"/>
        </w:rPr>
      </w:pPr>
      <w:r w:rsidRPr="0071734B">
        <w:rPr>
          <w:rFonts w:ascii="Arial" w:eastAsia="Times New Roman" w:hAnsi="Arial" w:cs="Arial"/>
          <w:b/>
          <w:bCs/>
          <w:color w:val="000000"/>
          <w:sz w:val="20"/>
          <w:szCs w:val="20"/>
          <w:lang w:eastAsia="en-IN"/>
        </w:rPr>
        <w:t>Master Circular on Conduct of Government Business by Agency Banks - Payment of Agency Commission</w:t>
      </w:r>
    </w:p>
    <w:p w:rsidR="0071734B" w:rsidRPr="0071734B" w:rsidRDefault="0071734B" w:rsidP="0071734B">
      <w:pPr>
        <w:spacing w:before="100" w:beforeAutospacing="1" w:after="100" w:afterAutospacing="1" w:line="240" w:lineRule="auto"/>
        <w:jc w:val="both"/>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Please refer to our </w:t>
      </w:r>
      <w:hyperlink r:id="rId46" w:tgtFrame="_blank" w:history="1">
        <w:r w:rsidRPr="0071734B">
          <w:rPr>
            <w:rFonts w:ascii="Arial" w:eastAsia="Times New Roman" w:hAnsi="Arial" w:cs="Arial"/>
            <w:color w:val="0000FF"/>
            <w:sz w:val="20"/>
            <w:szCs w:val="20"/>
            <w:u w:val="single"/>
            <w:lang w:eastAsia="en-IN"/>
          </w:rPr>
          <w:t>Master Circular RBI/2023-24/07, CO.DGBA.GBD.No.S1/31-12-010/2023-2024 dated April 1, 2023</w:t>
        </w:r>
      </w:hyperlink>
      <w:r w:rsidRPr="0071734B">
        <w:rPr>
          <w:rFonts w:ascii="Arial" w:eastAsia="Times New Roman" w:hAnsi="Arial" w:cs="Arial"/>
          <w:color w:val="000000"/>
          <w:sz w:val="20"/>
          <w:szCs w:val="20"/>
          <w:lang w:eastAsia="en-IN"/>
        </w:rPr>
        <w:t xml:space="preserve"> on the above subject. We have now revised and updated the Master </w:t>
      </w:r>
      <w:proofErr w:type="gramStart"/>
      <w:r w:rsidRPr="0071734B">
        <w:rPr>
          <w:rFonts w:ascii="Arial" w:eastAsia="Times New Roman" w:hAnsi="Arial" w:cs="Arial"/>
          <w:color w:val="000000"/>
          <w:sz w:val="20"/>
          <w:szCs w:val="20"/>
          <w:lang w:eastAsia="en-IN"/>
        </w:rPr>
        <w:t>Circular which</w:t>
      </w:r>
      <w:proofErr w:type="gramEnd"/>
      <w:r w:rsidRPr="0071734B">
        <w:rPr>
          <w:rFonts w:ascii="Arial" w:eastAsia="Times New Roman" w:hAnsi="Arial" w:cs="Arial"/>
          <w:color w:val="000000"/>
          <w:sz w:val="20"/>
          <w:szCs w:val="20"/>
          <w:lang w:eastAsia="en-IN"/>
        </w:rPr>
        <w:t xml:space="preserve"> consolidates important instructions on the subject issued by the Reserve Bank of India till March 31, 2024.</w:t>
      </w:r>
    </w:p>
    <w:p w:rsidR="0071734B" w:rsidRPr="0071734B" w:rsidRDefault="0071734B" w:rsidP="0071734B">
      <w:pPr>
        <w:spacing w:before="100" w:beforeAutospacing="1" w:after="100" w:afterAutospacing="1" w:line="240" w:lineRule="auto"/>
        <w:jc w:val="both"/>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2. A copy of the revised </w:t>
      </w:r>
      <w:hyperlink r:id="rId47" w:anchor="MC" w:history="1">
        <w:r w:rsidRPr="0071734B">
          <w:rPr>
            <w:rFonts w:ascii="Arial" w:eastAsia="Times New Roman" w:hAnsi="Arial" w:cs="Arial"/>
            <w:color w:val="0000FF"/>
            <w:sz w:val="20"/>
            <w:szCs w:val="20"/>
            <w:u w:val="single"/>
            <w:lang w:eastAsia="en-IN"/>
          </w:rPr>
          <w:t>Master Circular</w:t>
        </w:r>
      </w:hyperlink>
      <w:r w:rsidRPr="0071734B">
        <w:rPr>
          <w:rFonts w:ascii="Arial" w:eastAsia="Times New Roman" w:hAnsi="Arial" w:cs="Arial"/>
          <w:color w:val="000000"/>
          <w:sz w:val="20"/>
          <w:szCs w:val="20"/>
          <w:lang w:eastAsia="en-IN"/>
        </w:rPr>
        <w:t> </w:t>
      </w:r>
      <w:proofErr w:type="gramStart"/>
      <w:r w:rsidRPr="0071734B">
        <w:rPr>
          <w:rFonts w:ascii="Arial" w:eastAsia="Times New Roman" w:hAnsi="Arial" w:cs="Arial"/>
          <w:color w:val="000000"/>
          <w:sz w:val="20"/>
          <w:szCs w:val="20"/>
          <w:lang w:eastAsia="en-IN"/>
        </w:rPr>
        <w:t>is enclosed</w:t>
      </w:r>
      <w:proofErr w:type="gramEnd"/>
      <w:r w:rsidRPr="0071734B">
        <w:rPr>
          <w:rFonts w:ascii="Arial" w:eastAsia="Times New Roman" w:hAnsi="Arial" w:cs="Arial"/>
          <w:color w:val="000000"/>
          <w:sz w:val="20"/>
          <w:szCs w:val="20"/>
          <w:lang w:eastAsia="en-IN"/>
        </w:rPr>
        <w:t xml:space="preserve"> for your information. This Circular </w:t>
      </w:r>
      <w:proofErr w:type="gramStart"/>
      <w:r w:rsidRPr="0071734B">
        <w:rPr>
          <w:rFonts w:ascii="Arial" w:eastAsia="Times New Roman" w:hAnsi="Arial" w:cs="Arial"/>
          <w:color w:val="000000"/>
          <w:sz w:val="20"/>
          <w:szCs w:val="20"/>
          <w:lang w:eastAsia="en-IN"/>
        </w:rPr>
        <w:t>may also be downloaded</w:t>
      </w:r>
      <w:proofErr w:type="gramEnd"/>
      <w:r w:rsidRPr="0071734B">
        <w:rPr>
          <w:rFonts w:ascii="Arial" w:eastAsia="Times New Roman" w:hAnsi="Arial" w:cs="Arial"/>
          <w:color w:val="000000"/>
          <w:sz w:val="20"/>
          <w:szCs w:val="20"/>
          <w:lang w:eastAsia="en-IN"/>
        </w:rPr>
        <w:t xml:space="preserve"> from our website </w:t>
      </w:r>
      <w:hyperlink r:id="rId48" w:tgtFrame="_blank" w:history="1">
        <w:r w:rsidRPr="0071734B">
          <w:rPr>
            <w:rFonts w:ascii="Arial" w:eastAsia="Times New Roman" w:hAnsi="Arial" w:cs="Arial"/>
            <w:color w:val="0000FF"/>
            <w:sz w:val="20"/>
            <w:szCs w:val="20"/>
            <w:u w:val="single"/>
            <w:lang w:eastAsia="en-IN"/>
          </w:rPr>
          <w:t>https://mastercirculars.rbi.org.in</w:t>
        </w:r>
      </w:hyperlink>
      <w:r w:rsidRPr="0071734B">
        <w:rPr>
          <w:rFonts w:ascii="Arial" w:eastAsia="Times New Roman" w:hAnsi="Arial" w:cs="Arial"/>
          <w:color w:val="000000"/>
          <w:sz w:val="20"/>
          <w:szCs w:val="20"/>
          <w:lang w:eastAsia="en-IN"/>
        </w:rPr>
        <w:t>.</w:t>
      </w:r>
    </w:p>
    <w:p w:rsidR="0071734B" w:rsidRPr="0071734B" w:rsidRDefault="0071734B" w:rsidP="0071734B">
      <w:pPr>
        <w:spacing w:before="100" w:beforeAutospacing="1" w:after="100" w:afterAutospacing="1" w:line="240" w:lineRule="auto"/>
        <w:jc w:val="both"/>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Yours faithfully</w:t>
      </w:r>
    </w:p>
    <w:p w:rsidR="0071734B" w:rsidRPr="0071734B" w:rsidRDefault="0071734B" w:rsidP="0071734B">
      <w:pPr>
        <w:spacing w:before="100" w:beforeAutospacing="1" w:after="100" w:afterAutospacing="1" w:line="240" w:lineRule="auto"/>
        <w:rPr>
          <w:rFonts w:ascii="Arial" w:eastAsia="Times New Roman" w:hAnsi="Arial" w:cs="Arial"/>
          <w:color w:val="000000"/>
          <w:sz w:val="20"/>
          <w:szCs w:val="20"/>
          <w:lang w:eastAsia="en-IN"/>
        </w:rPr>
      </w:pPr>
      <w:r w:rsidRPr="0071734B">
        <w:rPr>
          <w:rFonts w:ascii="Arial" w:eastAsia="Times New Roman" w:hAnsi="Arial" w:cs="Arial"/>
          <w:color w:val="000000"/>
          <w:sz w:val="20"/>
          <w:szCs w:val="20"/>
          <w:lang w:eastAsia="en-IN"/>
        </w:rPr>
        <w:t>(</w:t>
      </w:r>
      <w:proofErr w:type="spellStart"/>
      <w:r w:rsidRPr="0071734B">
        <w:rPr>
          <w:rFonts w:ascii="Arial" w:eastAsia="Times New Roman" w:hAnsi="Arial" w:cs="Arial"/>
          <w:color w:val="000000"/>
          <w:sz w:val="20"/>
          <w:szCs w:val="20"/>
          <w:lang w:eastAsia="en-IN"/>
        </w:rPr>
        <w:t>Indranil</w:t>
      </w:r>
      <w:proofErr w:type="spellEnd"/>
      <w:r w:rsidRPr="0071734B">
        <w:rPr>
          <w:rFonts w:ascii="Arial" w:eastAsia="Times New Roman" w:hAnsi="Arial" w:cs="Arial"/>
          <w:color w:val="000000"/>
          <w:sz w:val="20"/>
          <w:szCs w:val="20"/>
          <w:lang w:eastAsia="en-IN"/>
        </w:rPr>
        <w:t xml:space="preserve"> Chakraborty)</w:t>
      </w:r>
      <w:r w:rsidRPr="0071734B">
        <w:rPr>
          <w:rFonts w:ascii="Arial" w:eastAsia="Times New Roman" w:hAnsi="Arial" w:cs="Arial"/>
          <w:color w:val="000000"/>
          <w:sz w:val="20"/>
          <w:szCs w:val="20"/>
          <w:lang w:eastAsia="en-IN"/>
        </w:rPr>
        <w:br/>
        <w:t>Chief General Manager</w:t>
      </w:r>
    </w:p>
    <w:p w:rsidR="0071734B" w:rsidRDefault="0071734B" w:rsidP="00B56C6C">
      <w:r w:rsidRPr="0071734B">
        <w:t>For more details, kindly refer:</w:t>
      </w:r>
    </w:p>
    <w:p w:rsidR="0071734B" w:rsidRDefault="0071734B" w:rsidP="00B56C6C">
      <w:hyperlink r:id="rId49" w:history="1">
        <w:r w:rsidRPr="00332F6B">
          <w:rPr>
            <w:rStyle w:val="Hyperlink"/>
          </w:rPr>
          <w:t>https://www.rbi.org.in/Scripts/NotificationUser.aspx?Id=12651&amp;Mode=0</w:t>
        </w:r>
      </w:hyperlink>
      <w:r>
        <w:t xml:space="preserve"> </w:t>
      </w:r>
    </w:p>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Default="000F0FF7" w:rsidP="00B56C6C"/>
    <w:p w:rsidR="000F0FF7" w:rsidRPr="000F0FF7" w:rsidRDefault="000F0FF7" w:rsidP="000F0FF7">
      <w:pPr>
        <w:spacing w:before="100" w:beforeAutospacing="1" w:after="100" w:afterAutospacing="1" w:line="240" w:lineRule="auto"/>
        <w:jc w:val="both"/>
        <w:rPr>
          <w:rFonts w:ascii="Arial" w:eastAsia="Times New Roman" w:hAnsi="Arial" w:cs="Arial"/>
          <w:b/>
          <w:bCs/>
          <w:color w:val="000000"/>
          <w:sz w:val="20"/>
          <w:szCs w:val="20"/>
          <w:lang w:eastAsia="en-IN"/>
        </w:rPr>
      </w:pPr>
      <w:r w:rsidRPr="000F0FF7">
        <w:rPr>
          <w:rFonts w:ascii="Arial" w:eastAsia="Times New Roman" w:hAnsi="Arial" w:cs="Arial"/>
          <w:b/>
          <w:bCs/>
          <w:color w:val="000000"/>
          <w:sz w:val="20"/>
          <w:szCs w:val="20"/>
          <w:lang w:eastAsia="en-IN"/>
        </w:rPr>
        <w:lastRenderedPageBreak/>
        <w:t>Master Direction on Counterfeit Notes, 2024 – Detection, Reporting and Monitoring</w:t>
      </w:r>
    </w:p>
    <w:p w:rsidR="000F0FF7" w:rsidRPr="000F0FF7" w:rsidRDefault="000F0FF7" w:rsidP="000F0FF7">
      <w:pPr>
        <w:spacing w:before="100" w:beforeAutospacing="1" w:after="100" w:afterAutospacing="1" w:line="240" w:lineRule="auto"/>
        <w:jc w:val="both"/>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RBI/DCM/2024-25/115</w:t>
      </w:r>
      <w:r w:rsidRPr="000F0FF7">
        <w:rPr>
          <w:rFonts w:ascii="Arial" w:eastAsia="Times New Roman" w:hAnsi="Arial" w:cs="Arial"/>
          <w:color w:val="000000"/>
          <w:sz w:val="20"/>
          <w:szCs w:val="20"/>
          <w:lang w:eastAsia="en-IN"/>
        </w:rPr>
        <w:br/>
        <w:t>DCM (FNVD)/G4/16.01.05/2024-25</w:t>
      </w:r>
    </w:p>
    <w:p w:rsidR="000F0FF7" w:rsidRPr="000F0FF7" w:rsidRDefault="000F0FF7" w:rsidP="000F0FF7">
      <w:pPr>
        <w:spacing w:before="100" w:beforeAutospacing="1" w:after="100" w:afterAutospacing="1" w:line="240" w:lineRule="auto"/>
        <w:jc w:val="right"/>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April 01, 2024</w:t>
      </w:r>
    </w:p>
    <w:p w:rsidR="000F0FF7" w:rsidRPr="000F0FF7" w:rsidRDefault="000F0FF7" w:rsidP="000F0FF7">
      <w:pPr>
        <w:spacing w:before="100" w:beforeAutospacing="1" w:after="100" w:afterAutospacing="1" w:line="240" w:lineRule="auto"/>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The Chairman / Managing Director / Chief Executive Officer</w:t>
      </w:r>
      <w:r w:rsidRPr="000F0FF7">
        <w:rPr>
          <w:rFonts w:ascii="Arial" w:eastAsia="Times New Roman" w:hAnsi="Arial" w:cs="Arial"/>
          <w:color w:val="000000"/>
          <w:sz w:val="20"/>
          <w:szCs w:val="20"/>
          <w:lang w:eastAsia="en-IN"/>
        </w:rPr>
        <w:br/>
        <w:t>All Banks</w:t>
      </w:r>
    </w:p>
    <w:p w:rsidR="000F0FF7" w:rsidRPr="000F0FF7" w:rsidRDefault="000F0FF7" w:rsidP="000F0FF7">
      <w:pPr>
        <w:spacing w:before="100" w:beforeAutospacing="1" w:after="100" w:afterAutospacing="1" w:line="240" w:lineRule="auto"/>
        <w:jc w:val="both"/>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Madam / Dear Sir,</w:t>
      </w:r>
    </w:p>
    <w:p w:rsidR="000F0FF7" w:rsidRPr="000F0FF7" w:rsidRDefault="000F0FF7" w:rsidP="000F0FF7">
      <w:pPr>
        <w:spacing w:before="100" w:beforeAutospacing="1" w:after="100" w:afterAutospacing="1" w:line="240" w:lineRule="auto"/>
        <w:jc w:val="both"/>
        <w:rPr>
          <w:rFonts w:ascii="Arial" w:eastAsia="Times New Roman" w:hAnsi="Arial" w:cs="Arial"/>
          <w:b/>
          <w:bCs/>
          <w:color w:val="000000"/>
          <w:sz w:val="20"/>
          <w:szCs w:val="20"/>
          <w:lang w:eastAsia="en-IN"/>
        </w:rPr>
      </w:pPr>
      <w:r w:rsidRPr="000F0FF7">
        <w:rPr>
          <w:rFonts w:ascii="Arial" w:eastAsia="Times New Roman" w:hAnsi="Arial" w:cs="Arial"/>
          <w:b/>
          <w:bCs/>
          <w:color w:val="000000"/>
          <w:sz w:val="20"/>
          <w:szCs w:val="20"/>
          <w:lang w:eastAsia="en-IN"/>
        </w:rPr>
        <w:t>Master Direction on Counterfeit Notes, 2024 – Detection, Reporting and Monitoring</w:t>
      </w:r>
    </w:p>
    <w:p w:rsidR="000F0FF7" w:rsidRPr="000F0FF7" w:rsidRDefault="000F0FF7" w:rsidP="000F0FF7">
      <w:pPr>
        <w:spacing w:before="100" w:beforeAutospacing="1" w:after="100" w:afterAutospacing="1" w:line="240" w:lineRule="auto"/>
        <w:jc w:val="both"/>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 xml:space="preserve">The Reserve Bank of India (RBI) </w:t>
      </w:r>
      <w:proofErr w:type="gramStart"/>
      <w:r w:rsidRPr="000F0FF7">
        <w:rPr>
          <w:rFonts w:ascii="Arial" w:eastAsia="Times New Roman" w:hAnsi="Arial" w:cs="Arial"/>
          <w:color w:val="000000"/>
          <w:sz w:val="20"/>
          <w:szCs w:val="20"/>
          <w:lang w:eastAsia="en-IN"/>
        </w:rPr>
        <w:t>has, from time to time, issued</w:t>
      </w:r>
      <w:proofErr w:type="gramEnd"/>
      <w:r w:rsidRPr="000F0FF7">
        <w:rPr>
          <w:rFonts w:ascii="Arial" w:eastAsia="Times New Roman" w:hAnsi="Arial" w:cs="Arial"/>
          <w:color w:val="000000"/>
          <w:sz w:val="20"/>
          <w:szCs w:val="20"/>
          <w:lang w:eastAsia="en-IN"/>
        </w:rPr>
        <w:t xml:space="preserve"> several guidelines / instructions / directives to the banks on Counterfeit Notes.</w:t>
      </w:r>
    </w:p>
    <w:p w:rsidR="000F0FF7" w:rsidRPr="000F0FF7" w:rsidRDefault="000F0FF7" w:rsidP="000F0FF7">
      <w:pPr>
        <w:spacing w:before="100" w:beforeAutospacing="1" w:after="100" w:afterAutospacing="1" w:line="240" w:lineRule="auto"/>
        <w:jc w:val="both"/>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2. A Master Direction incorporating and updating the extant guidelines / instructions / directives on the subject has been prepared to enable banks to have all current instructions on Counterfeit Notes at one place for reference.</w:t>
      </w:r>
    </w:p>
    <w:p w:rsidR="000F0FF7" w:rsidRPr="000F0FF7" w:rsidRDefault="000F0FF7" w:rsidP="000F0FF7">
      <w:pPr>
        <w:spacing w:before="100" w:beforeAutospacing="1" w:after="100" w:afterAutospacing="1" w:line="240" w:lineRule="auto"/>
        <w:jc w:val="both"/>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3. This </w:t>
      </w:r>
      <w:hyperlink r:id="rId50" w:anchor="MD" w:history="1">
        <w:r w:rsidRPr="000F0FF7">
          <w:rPr>
            <w:rFonts w:ascii="Arial" w:eastAsia="Times New Roman" w:hAnsi="Arial" w:cs="Arial"/>
            <w:color w:val="0000FF"/>
            <w:sz w:val="20"/>
            <w:szCs w:val="20"/>
            <w:u w:val="single"/>
            <w:lang w:eastAsia="en-IN"/>
          </w:rPr>
          <w:t>Direction</w:t>
        </w:r>
      </w:hyperlink>
      <w:r w:rsidRPr="000F0FF7">
        <w:rPr>
          <w:rFonts w:ascii="Arial" w:eastAsia="Times New Roman" w:hAnsi="Arial" w:cs="Arial"/>
          <w:color w:val="000000"/>
          <w:sz w:val="20"/>
          <w:szCs w:val="20"/>
          <w:lang w:eastAsia="en-IN"/>
        </w:rPr>
        <w:t> </w:t>
      </w:r>
      <w:proofErr w:type="gramStart"/>
      <w:r w:rsidRPr="000F0FF7">
        <w:rPr>
          <w:rFonts w:ascii="Arial" w:eastAsia="Times New Roman" w:hAnsi="Arial" w:cs="Arial"/>
          <w:color w:val="000000"/>
          <w:sz w:val="20"/>
          <w:szCs w:val="20"/>
          <w:lang w:eastAsia="en-IN"/>
        </w:rPr>
        <w:t>has been issued</w:t>
      </w:r>
      <w:proofErr w:type="gramEnd"/>
      <w:r w:rsidRPr="000F0FF7">
        <w:rPr>
          <w:rFonts w:ascii="Arial" w:eastAsia="Times New Roman" w:hAnsi="Arial" w:cs="Arial"/>
          <w:color w:val="000000"/>
          <w:sz w:val="20"/>
          <w:szCs w:val="20"/>
          <w:lang w:eastAsia="en-IN"/>
        </w:rPr>
        <w:t xml:space="preserve"> in exercise of powers conferred upon RBI under Section 35A and Section 56 of the Banking Regulation Act, 1949.</w:t>
      </w:r>
    </w:p>
    <w:p w:rsidR="000F0FF7" w:rsidRPr="000F0FF7" w:rsidRDefault="000F0FF7" w:rsidP="000F0FF7">
      <w:pPr>
        <w:spacing w:before="100" w:beforeAutospacing="1" w:after="100" w:afterAutospacing="1" w:line="240" w:lineRule="auto"/>
        <w:jc w:val="both"/>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Yours faithfully,</w:t>
      </w:r>
    </w:p>
    <w:p w:rsidR="000F0FF7" w:rsidRDefault="000F0FF7" w:rsidP="000F0FF7">
      <w:pPr>
        <w:spacing w:before="100" w:beforeAutospacing="1" w:after="100" w:afterAutospacing="1" w:line="240" w:lineRule="auto"/>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(Sanjeev Prakash)</w:t>
      </w:r>
      <w:r w:rsidRPr="000F0FF7">
        <w:rPr>
          <w:rFonts w:ascii="Arial" w:eastAsia="Times New Roman" w:hAnsi="Arial" w:cs="Arial"/>
          <w:color w:val="000000"/>
          <w:sz w:val="20"/>
          <w:szCs w:val="20"/>
          <w:lang w:eastAsia="en-IN"/>
        </w:rPr>
        <w:br/>
        <w:t>Chief General Manager</w:t>
      </w:r>
    </w:p>
    <w:p w:rsidR="000F0FF7" w:rsidRDefault="000F0FF7" w:rsidP="000F0FF7">
      <w:pPr>
        <w:spacing w:before="100" w:beforeAutospacing="1" w:after="100" w:afterAutospacing="1" w:line="240" w:lineRule="auto"/>
        <w:rPr>
          <w:rFonts w:ascii="Arial" w:eastAsia="Times New Roman" w:hAnsi="Arial" w:cs="Arial"/>
          <w:color w:val="000000"/>
          <w:sz w:val="20"/>
          <w:szCs w:val="20"/>
          <w:lang w:eastAsia="en-IN"/>
        </w:rPr>
      </w:pPr>
      <w:r w:rsidRPr="000F0FF7">
        <w:rPr>
          <w:rFonts w:ascii="Arial" w:eastAsia="Times New Roman" w:hAnsi="Arial" w:cs="Arial"/>
          <w:color w:val="000000"/>
          <w:sz w:val="20"/>
          <w:szCs w:val="20"/>
          <w:lang w:eastAsia="en-IN"/>
        </w:rPr>
        <w:t>For more details, kindly refer:</w:t>
      </w:r>
    </w:p>
    <w:p w:rsidR="000F0FF7" w:rsidRDefault="000F0FF7" w:rsidP="000F0FF7">
      <w:pPr>
        <w:spacing w:before="100" w:beforeAutospacing="1" w:after="100" w:afterAutospacing="1" w:line="240" w:lineRule="auto"/>
        <w:rPr>
          <w:rFonts w:ascii="Arial" w:eastAsia="Times New Roman" w:hAnsi="Arial" w:cs="Arial"/>
          <w:color w:val="000000"/>
          <w:sz w:val="20"/>
          <w:szCs w:val="20"/>
          <w:lang w:eastAsia="en-IN"/>
        </w:rPr>
      </w:pPr>
      <w:hyperlink r:id="rId51" w:history="1">
        <w:r w:rsidRPr="00332F6B">
          <w:rPr>
            <w:rStyle w:val="Hyperlink"/>
            <w:rFonts w:ascii="Arial" w:eastAsia="Times New Roman" w:hAnsi="Arial" w:cs="Arial"/>
            <w:sz w:val="20"/>
            <w:szCs w:val="20"/>
            <w:lang w:eastAsia="en-IN"/>
          </w:rPr>
          <w:t>https://www.rbi.org.in/Scripts/NotificationUser.aspx?Id=12653&amp;Mode=0</w:t>
        </w:r>
      </w:hyperlink>
      <w:r>
        <w:rPr>
          <w:rFonts w:ascii="Arial" w:eastAsia="Times New Roman" w:hAnsi="Arial" w:cs="Arial"/>
          <w:color w:val="000000"/>
          <w:sz w:val="20"/>
          <w:szCs w:val="20"/>
          <w:lang w:eastAsia="en-IN"/>
        </w:rPr>
        <w:t xml:space="preserve"> </w:t>
      </w: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531B24" w:rsidRPr="00531B24" w:rsidRDefault="00531B24" w:rsidP="00531B24">
      <w:pPr>
        <w:spacing w:before="100" w:beforeAutospacing="1" w:after="100" w:afterAutospacing="1" w:line="240" w:lineRule="auto"/>
        <w:jc w:val="both"/>
        <w:rPr>
          <w:rFonts w:ascii="Arial" w:eastAsia="Times New Roman" w:hAnsi="Arial" w:cs="Arial"/>
          <w:b/>
          <w:bCs/>
          <w:color w:val="000000"/>
          <w:sz w:val="20"/>
          <w:szCs w:val="20"/>
          <w:lang w:eastAsia="en-IN"/>
        </w:rPr>
      </w:pPr>
      <w:r w:rsidRPr="00531B24">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531B24">
        <w:rPr>
          <w:rFonts w:ascii="Arial" w:eastAsia="Times New Roman" w:hAnsi="Arial" w:cs="Arial"/>
          <w:b/>
          <w:bCs/>
          <w:color w:val="000000"/>
          <w:sz w:val="20"/>
          <w:szCs w:val="20"/>
          <w:lang w:eastAsia="en-IN"/>
        </w:rPr>
        <w:t>Provisioning</w:t>
      </w:r>
      <w:proofErr w:type="gramEnd"/>
      <w:r w:rsidRPr="00531B24">
        <w:rPr>
          <w:rFonts w:ascii="Arial" w:eastAsia="Times New Roman" w:hAnsi="Arial" w:cs="Arial"/>
          <w:b/>
          <w:bCs/>
          <w:color w:val="000000"/>
          <w:sz w:val="20"/>
          <w:szCs w:val="20"/>
          <w:lang w:eastAsia="en-IN"/>
        </w:rPr>
        <w:t xml:space="preserve"> pertaining to Advances</w:t>
      </w:r>
    </w:p>
    <w:p w:rsidR="00531B24" w:rsidRPr="00531B24" w:rsidRDefault="00531B24" w:rsidP="00531B24">
      <w:pPr>
        <w:spacing w:before="100" w:beforeAutospacing="1" w:after="100" w:afterAutospacing="1" w:line="240" w:lineRule="auto"/>
        <w:jc w:val="both"/>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RBI/2024-25/12</w:t>
      </w:r>
      <w:r w:rsidRPr="00531B24">
        <w:rPr>
          <w:rFonts w:ascii="Arial" w:eastAsia="Times New Roman" w:hAnsi="Arial" w:cs="Arial"/>
          <w:color w:val="000000"/>
          <w:sz w:val="20"/>
          <w:szCs w:val="20"/>
          <w:lang w:eastAsia="en-IN"/>
        </w:rPr>
        <w:br/>
        <w:t>DOR.STR.REC.8/21.04.048/2024-25</w:t>
      </w:r>
    </w:p>
    <w:p w:rsidR="00531B24" w:rsidRPr="00531B24" w:rsidRDefault="00531B24" w:rsidP="00531B24">
      <w:pPr>
        <w:spacing w:before="100" w:beforeAutospacing="1" w:after="100" w:afterAutospacing="1" w:line="240" w:lineRule="auto"/>
        <w:jc w:val="right"/>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April 02, 2024</w:t>
      </w:r>
    </w:p>
    <w:p w:rsidR="00531B24" w:rsidRPr="00531B24" w:rsidRDefault="00531B24" w:rsidP="00531B24">
      <w:pPr>
        <w:spacing w:before="100" w:beforeAutospacing="1" w:after="100" w:afterAutospacing="1" w:line="240" w:lineRule="auto"/>
        <w:jc w:val="both"/>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All Commercial Banks (excluding RRBs)</w:t>
      </w:r>
    </w:p>
    <w:p w:rsidR="00531B24" w:rsidRPr="00531B24" w:rsidRDefault="00531B24" w:rsidP="00531B24">
      <w:pPr>
        <w:spacing w:before="100" w:beforeAutospacing="1" w:after="100" w:afterAutospacing="1" w:line="240" w:lineRule="auto"/>
        <w:jc w:val="both"/>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Madam/Dear Sir</w:t>
      </w:r>
    </w:p>
    <w:p w:rsidR="00531B24" w:rsidRPr="00531B24" w:rsidRDefault="00531B24" w:rsidP="00531B24">
      <w:pPr>
        <w:spacing w:before="100" w:beforeAutospacing="1" w:after="100" w:afterAutospacing="1" w:line="240" w:lineRule="auto"/>
        <w:jc w:val="both"/>
        <w:rPr>
          <w:rFonts w:ascii="Arial" w:eastAsia="Times New Roman" w:hAnsi="Arial" w:cs="Arial"/>
          <w:b/>
          <w:bCs/>
          <w:color w:val="000000"/>
          <w:sz w:val="20"/>
          <w:szCs w:val="20"/>
          <w:lang w:eastAsia="en-IN"/>
        </w:rPr>
      </w:pPr>
      <w:r w:rsidRPr="00531B24">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531B24">
        <w:rPr>
          <w:rFonts w:ascii="Arial" w:eastAsia="Times New Roman" w:hAnsi="Arial" w:cs="Arial"/>
          <w:b/>
          <w:bCs/>
          <w:color w:val="000000"/>
          <w:sz w:val="20"/>
          <w:szCs w:val="20"/>
          <w:lang w:eastAsia="en-IN"/>
        </w:rPr>
        <w:t>Provisioning</w:t>
      </w:r>
      <w:proofErr w:type="gramEnd"/>
      <w:r w:rsidRPr="00531B24">
        <w:rPr>
          <w:rFonts w:ascii="Arial" w:eastAsia="Times New Roman" w:hAnsi="Arial" w:cs="Arial"/>
          <w:b/>
          <w:bCs/>
          <w:color w:val="000000"/>
          <w:sz w:val="20"/>
          <w:szCs w:val="20"/>
          <w:lang w:eastAsia="en-IN"/>
        </w:rPr>
        <w:t xml:space="preserve"> pertaining to Advances</w:t>
      </w:r>
    </w:p>
    <w:p w:rsidR="00531B24" w:rsidRPr="00531B24" w:rsidRDefault="00531B24" w:rsidP="00531B24">
      <w:pPr>
        <w:spacing w:before="100" w:beforeAutospacing="1" w:after="100" w:afterAutospacing="1" w:line="240" w:lineRule="auto"/>
        <w:jc w:val="both"/>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Please refer to the </w:t>
      </w:r>
      <w:hyperlink r:id="rId52" w:tgtFrame="_blank" w:history="1">
        <w:r w:rsidRPr="00531B24">
          <w:rPr>
            <w:rFonts w:ascii="Arial" w:eastAsia="Times New Roman" w:hAnsi="Arial" w:cs="Arial"/>
            <w:color w:val="0000FF"/>
            <w:sz w:val="20"/>
            <w:szCs w:val="20"/>
            <w:u w:val="single"/>
            <w:lang w:eastAsia="en-IN"/>
          </w:rPr>
          <w:t>Master Circular DOR.STR.REC.3/21.04.048/2023-24 dated April 1, 2023</w:t>
        </w:r>
      </w:hyperlink>
      <w:r w:rsidRPr="00531B24">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531B24" w:rsidRPr="00531B24" w:rsidRDefault="00531B24" w:rsidP="00531B24">
      <w:pPr>
        <w:spacing w:before="100" w:beforeAutospacing="1" w:after="100" w:afterAutospacing="1" w:line="240" w:lineRule="auto"/>
        <w:jc w:val="both"/>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2. Attached is the revised </w:t>
      </w:r>
      <w:hyperlink r:id="rId53" w:anchor="MC" w:history="1">
        <w:r w:rsidRPr="00531B24">
          <w:rPr>
            <w:rFonts w:ascii="Arial" w:eastAsia="Times New Roman" w:hAnsi="Arial" w:cs="Arial"/>
            <w:color w:val="0000FF"/>
            <w:sz w:val="20"/>
            <w:szCs w:val="20"/>
            <w:u w:val="single"/>
            <w:lang w:eastAsia="en-IN"/>
          </w:rPr>
          <w:t>Master Circular</w:t>
        </w:r>
      </w:hyperlink>
      <w:r w:rsidRPr="00531B24">
        <w:rPr>
          <w:rFonts w:ascii="Arial" w:eastAsia="Times New Roman" w:hAnsi="Arial" w:cs="Arial"/>
          <w:color w:val="000000"/>
          <w:sz w:val="20"/>
          <w:szCs w:val="20"/>
          <w:lang w:eastAsia="en-IN"/>
        </w:rPr>
        <w:t xml:space="preserve">, updated to reflect all instructions issued </w:t>
      </w:r>
      <w:proofErr w:type="spellStart"/>
      <w:r w:rsidRPr="00531B24">
        <w:rPr>
          <w:rFonts w:ascii="Arial" w:eastAsia="Times New Roman" w:hAnsi="Arial" w:cs="Arial"/>
          <w:color w:val="000000"/>
          <w:sz w:val="20"/>
          <w:szCs w:val="20"/>
          <w:lang w:eastAsia="en-IN"/>
        </w:rPr>
        <w:t>upto</w:t>
      </w:r>
      <w:proofErr w:type="spellEnd"/>
      <w:r w:rsidRPr="00531B24">
        <w:rPr>
          <w:rFonts w:ascii="Arial" w:eastAsia="Times New Roman" w:hAnsi="Arial" w:cs="Arial"/>
          <w:color w:val="000000"/>
          <w:sz w:val="20"/>
          <w:szCs w:val="20"/>
          <w:lang w:eastAsia="en-IN"/>
        </w:rPr>
        <w:t xml:space="preserve"> March 31, 2024 on the above matter, as listed in </w:t>
      </w:r>
      <w:hyperlink r:id="rId54" w:anchor="ANN5" w:history="1">
        <w:r w:rsidRPr="00531B24">
          <w:rPr>
            <w:rFonts w:ascii="Arial" w:eastAsia="Times New Roman" w:hAnsi="Arial" w:cs="Arial"/>
            <w:color w:val="0000FF"/>
            <w:sz w:val="20"/>
            <w:szCs w:val="20"/>
            <w:u w:val="single"/>
            <w:lang w:eastAsia="en-IN"/>
          </w:rPr>
          <w:t>Annex 5</w:t>
        </w:r>
      </w:hyperlink>
      <w:r w:rsidRPr="00531B24">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531B24" w:rsidRPr="00531B24" w:rsidRDefault="00531B24" w:rsidP="00531B24">
      <w:pPr>
        <w:spacing w:before="100" w:beforeAutospacing="1" w:after="100" w:afterAutospacing="1" w:line="240" w:lineRule="auto"/>
        <w:jc w:val="both"/>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Yours faithfully</w:t>
      </w:r>
    </w:p>
    <w:p w:rsidR="00531B24" w:rsidRDefault="00531B24" w:rsidP="00531B24">
      <w:pPr>
        <w:spacing w:before="100" w:beforeAutospacing="1" w:after="100" w:afterAutospacing="1" w:line="240" w:lineRule="auto"/>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w:t>
      </w:r>
      <w:proofErr w:type="spellStart"/>
      <w:r w:rsidRPr="00531B24">
        <w:rPr>
          <w:rFonts w:ascii="Arial" w:eastAsia="Times New Roman" w:hAnsi="Arial" w:cs="Arial"/>
          <w:color w:val="000000"/>
          <w:sz w:val="20"/>
          <w:szCs w:val="20"/>
          <w:lang w:eastAsia="en-IN"/>
        </w:rPr>
        <w:t>Vaibhav</w:t>
      </w:r>
      <w:proofErr w:type="spellEnd"/>
      <w:r w:rsidRPr="00531B24">
        <w:rPr>
          <w:rFonts w:ascii="Arial" w:eastAsia="Times New Roman" w:hAnsi="Arial" w:cs="Arial"/>
          <w:color w:val="000000"/>
          <w:sz w:val="20"/>
          <w:szCs w:val="20"/>
          <w:lang w:eastAsia="en-IN"/>
        </w:rPr>
        <w:t xml:space="preserve"> </w:t>
      </w:r>
      <w:proofErr w:type="spellStart"/>
      <w:r w:rsidRPr="00531B24">
        <w:rPr>
          <w:rFonts w:ascii="Arial" w:eastAsia="Times New Roman" w:hAnsi="Arial" w:cs="Arial"/>
          <w:color w:val="000000"/>
          <w:sz w:val="20"/>
          <w:szCs w:val="20"/>
          <w:lang w:eastAsia="en-IN"/>
        </w:rPr>
        <w:t>Chaturvedi</w:t>
      </w:r>
      <w:proofErr w:type="spellEnd"/>
      <w:r w:rsidRPr="00531B24">
        <w:rPr>
          <w:rFonts w:ascii="Arial" w:eastAsia="Times New Roman" w:hAnsi="Arial" w:cs="Arial"/>
          <w:color w:val="000000"/>
          <w:sz w:val="20"/>
          <w:szCs w:val="20"/>
          <w:lang w:eastAsia="en-IN"/>
        </w:rPr>
        <w:t>)</w:t>
      </w:r>
      <w:r w:rsidRPr="00531B24">
        <w:rPr>
          <w:rFonts w:ascii="Arial" w:eastAsia="Times New Roman" w:hAnsi="Arial" w:cs="Arial"/>
          <w:color w:val="000000"/>
          <w:sz w:val="20"/>
          <w:szCs w:val="20"/>
          <w:lang w:eastAsia="en-IN"/>
        </w:rPr>
        <w:br/>
        <w:t>Chief General Manager</w:t>
      </w:r>
    </w:p>
    <w:p w:rsidR="00531B24" w:rsidRDefault="00531B24" w:rsidP="00531B24">
      <w:pPr>
        <w:spacing w:before="100" w:beforeAutospacing="1" w:after="100" w:afterAutospacing="1" w:line="240" w:lineRule="auto"/>
        <w:rPr>
          <w:rFonts w:ascii="Arial" w:eastAsia="Times New Roman" w:hAnsi="Arial" w:cs="Arial"/>
          <w:color w:val="000000"/>
          <w:sz w:val="20"/>
          <w:szCs w:val="20"/>
          <w:lang w:eastAsia="en-IN"/>
        </w:rPr>
      </w:pPr>
      <w:r w:rsidRPr="00531B24">
        <w:rPr>
          <w:rFonts w:ascii="Arial" w:eastAsia="Times New Roman" w:hAnsi="Arial" w:cs="Arial"/>
          <w:color w:val="000000"/>
          <w:sz w:val="20"/>
          <w:szCs w:val="20"/>
          <w:lang w:eastAsia="en-IN"/>
        </w:rPr>
        <w:t>For more details, kindly refer:</w:t>
      </w:r>
    </w:p>
    <w:p w:rsidR="00531B24" w:rsidRDefault="00531B24" w:rsidP="00531B24">
      <w:pPr>
        <w:spacing w:before="100" w:beforeAutospacing="1" w:after="100" w:afterAutospacing="1" w:line="240" w:lineRule="auto"/>
        <w:rPr>
          <w:rFonts w:ascii="Arial" w:eastAsia="Times New Roman" w:hAnsi="Arial" w:cs="Arial"/>
          <w:color w:val="000000"/>
          <w:sz w:val="20"/>
          <w:szCs w:val="20"/>
          <w:lang w:eastAsia="en-IN"/>
        </w:rPr>
      </w:pPr>
      <w:hyperlink r:id="rId55" w:history="1">
        <w:r w:rsidRPr="00332F6B">
          <w:rPr>
            <w:rStyle w:val="Hyperlink"/>
            <w:rFonts w:ascii="Arial" w:eastAsia="Times New Roman" w:hAnsi="Arial" w:cs="Arial"/>
            <w:sz w:val="20"/>
            <w:szCs w:val="20"/>
            <w:lang w:eastAsia="en-IN"/>
          </w:rPr>
          <w:t>https://www.rbi.org.in/Scripts/NotificationUser.aspx?Id=12657&amp;Mode=0</w:t>
        </w:r>
      </w:hyperlink>
      <w:r>
        <w:rPr>
          <w:rFonts w:ascii="Arial" w:eastAsia="Times New Roman" w:hAnsi="Arial" w:cs="Arial"/>
          <w:color w:val="000000"/>
          <w:sz w:val="20"/>
          <w:szCs w:val="20"/>
          <w:lang w:eastAsia="en-IN"/>
        </w:rPr>
        <w:t xml:space="preserve"> </w:t>
      </w: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lastRenderedPageBreak/>
        <w:t>RBI/2024-25/17</w:t>
      </w:r>
      <w:r w:rsidRPr="00774E20">
        <w:rPr>
          <w:rFonts w:ascii="Arial" w:eastAsia="Times New Roman" w:hAnsi="Arial" w:cs="Arial"/>
          <w:color w:val="000000"/>
          <w:sz w:val="20"/>
          <w:szCs w:val="20"/>
          <w:lang w:eastAsia="en-IN"/>
        </w:rPr>
        <w:br/>
        <w:t>A. P. (DIR Series) Circular No. 01</w:t>
      </w:r>
    </w:p>
    <w:p w:rsidR="00774E20" w:rsidRPr="00774E20" w:rsidRDefault="00774E20" w:rsidP="00774E20">
      <w:pPr>
        <w:spacing w:before="100" w:beforeAutospacing="1" w:after="100" w:afterAutospacing="1" w:line="240" w:lineRule="auto"/>
        <w:jc w:val="right"/>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April 15, 2024</w:t>
      </w:r>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All Authorised Dealer Category – I Banks</w:t>
      </w:r>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Madam / Sir,</w:t>
      </w:r>
    </w:p>
    <w:p w:rsidR="00774E20" w:rsidRPr="00774E20" w:rsidRDefault="00774E20" w:rsidP="00774E20">
      <w:pPr>
        <w:spacing w:before="100" w:beforeAutospacing="1" w:after="100" w:afterAutospacing="1" w:line="240" w:lineRule="auto"/>
        <w:jc w:val="center"/>
        <w:rPr>
          <w:rFonts w:ascii="Arial" w:eastAsia="Times New Roman" w:hAnsi="Arial" w:cs="Arial"/>
          <w:b/>
          <w:bCs/>
          <w:color w:val="000000"/>
          <w:sz w:val="20"/>
          <w:szCs w:val="20"/>
          <w:lang w:eastAsia="en-IN"/>
        </w:rPr>
      </w:pPr>
      <w:r w:rsidRPr="00774E20">
        <w:rPr>
          <w:rFonts w:ascii="Arial" w:eastAsia="Times New Roman" w:hAnsi="Arial" w:cs="Arial"/>
          <w:b/>
          <w:bCs/>
          <w:color w:val="000000"/>
          <w:sz w:val="20"/>
          <w:szCs w:val="20"/>
          <w:lang w:eastAsia="en-IN"/>
        </w:rPr>
        <w:t>Hedging of Gold Price Risk in Overseas Markets</w:t>
      </w:r>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Please refer to Paragraph 2 of the </w:t>
      </w:r>
      <w:hyperlink r:id="rId56" w:tgtFrame="_blank" w:history="1">
        <w:r w:rsidRPr="00774E20">
          <w:rPr>
            <w:rFonts w:ascii="Arial" w:eastAsia="Times New Roman" w:hAnsi="Arial" w:cs="Arial"/>
            <w:color w:val="0000FF"/>
            <w:sz w:val="20"/>
            <w:szCs w:val="20"/>
            <w:u w:val="single"/>
            <w:lang w:eastAsia="en-IN"/>
          </w:rPr>
          <w:t>Statement on Developmental and Regulatory Policies</w:t>
        </w:r>
      </w:hyperlink>
      <w:r w:rsidRPr="00774E20">
        <w:rPr>
          <w:rFonts w:ascii="Arial" w:eastAsia="Times New Roman" w:hAnsi="Arial" w:cs="Arial"/>
          <w:color w:val="000000"/>
          <w:sz w:val="20"/>
          <w:szCs w:val="20"/>
          <w:lang w:eastAsia="en-IN"/>
        </w:rPr>
        <w:t> announced as a part of the </w:t>
      </w:r>
      <w:hyperlink r:id="rId57" w:tgtFrame="_blank" w:history="1">
        <w:r w:rsidRPr="00774E20">
          <w:rPr>
            <w:rFonts w:ascii="Arial" w:eastAsia="Times New Roman" w:hAnsi="Arial" w:cs="Arial"/>
            <w:color w:val="0000FF"/>
            <w:sz w:val="20"/>
            <w:szCs w:val="20"/>
            <w:u w:val="single"/>
            <w:lang w:eastAsia="en-IN"/>
          </w:rPr>
          <w:t>Bi-monthly Monetary Policy Statement for 2023-24 dated February 08, 2024</w:t>
        </w:r>
      </w:hyperlink>
      <w:r w:rsidRPr="00774E20">
        <w:rPr>
          <w:rFonts w:ascii="Arial" w:eastAsia="Times New Roman" w:hAnsi="Arial" w:cs="Arial"/>
          <w:color w:val="000000"/>
          <w:sz w:val="20"/>
          <w:szCs w:val="20"/>
          <w:lang w:eastAsia="en-IN"/>
        </w:rPr>
        <w:t xml:space="preserve">, regarding hedging of price risk of gold in overseas markets. Attention </w:t>
      </w:r>
      <w:proofErr w:type="gramStart"/>
      <w:r w:rsidRPr="00774E20">
        <w:rPr>
          <w:rFonts w:ascii="Arial" w:eastAsia="Times New Roman" w:hAnsi="Arial" w:cs="Arial"/>
          <w:color w:val="000000"/>
          <w:sz w:val="20"/>
          <w:szCs w:val="20"/>
          <w:lang w:eastAsia="en-IN"/>
        </w:rPr>
        <w:t>is also invited</w:t>
      </w:r>
      <w:proofErr w:type="gramEnd"/>
      <w:r w:rsidRPr="00774E20">
        <w:rPr>
          <w:rFonts w:ascii="Arial" w:eastAsia="Times New Roman" w:hAnsi="Arial" w:cs="Arial"/>
          <w:color w:val="000000"/>
          <w:sz w:val="20"/>
          <w:szCs w:val="20"/>
          <w:lang w:eastAsia="en-IN"/>
        </w:rPr>
        <w:t xml:space="preserve"> to the </w:t>
      </w:r>
      <w:hyperlink r:id="rId58" w:tgtFrame="_blank" w:history="1">
        <w:r w:rsidRPr="00774E20">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74E20">
        <w:rPr>
          <w:rFonts w:ascii="Arial" w:eastAsia="Times New Roman" w:hAnsi="Arial" w:cs="Arial"/>
          <w:color w:val="000000"/>
          <w:sz w:val="20"/>
          <w:szCs w:val="20"/>
          <w:lang w:eastAsia="en-IN"/>
        </w:rPr>
        <w:t>.</w:t>
      </w:r>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59" w:tgtFrame="_blank" w:history="1">
        <w:r w:rsidRPr="00774E20">
          <w:rPr>
            <w:rFonts w:ascii="Arial" w:eastAsia="Times New Roman" w:hAnsi="Arial" w:cs="Arial"/>
            <w:color w:val="0000FF"/>
            <w:sz w:val="20"/>
            <w:szCs w:val="20"/>
            <w:u w:val="single"/>
            <w:lang w:eastAsia="en-IN"/>
          </w:rPr>
          <w:t>A. P. (DIR Series) Circular No. 19 dated December 12, 2022</w:t>
        </w:r>
      </w:hyperlink>
      <w:r w:rsidRPr="00774E20">
        <w:rPr>
          <w:rFonts w:ascii="Arial" w:eastAsia="Times New Roman" w:hAnsi="Arial" w:cs="Arial"/>
          <w:color w:val="000000"/>
          <w:sz w:val="20"/>
          <w:szCs w:val="20"/>
          <w:lang w:eastAsia="en-IN"/>
        </w:rPr>
        <w:t xml:space="preserve">. </w:t>
      </w:r>
      <w:proofErr w:type="gramStart"/>
      <w:r w:rsidRPr="00774E20">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60" w:tgtFrame="_blank" w:history="1">
        <w:r w:rsidRPr="00774E20">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74E20">
        <w:rPr>
          <w:rFonts w:ascii="Arial" w:eastAsia="Times New Roman" w:hAnsi="Arial" w:cs="Arial"/>
          <w:color w:val="000000"/>
          <w:sz w:val="20"/>
          <w:szCs w:val="20"/>
          <w:lang w:eastAsia="en-IN"/>
        </w:rPr>
        <w:t>, as amended from time to time.</w:t>
      </w:r>
      <w:proofErr w:type="gramEnd"/>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3. These instructions shall be applicable with immediate effect. The </w:t>
      </w:r>
      <w:hyperlink r:id="rId61" w:tgtFrame="_blank" w:history="1">
        <w:r w:rsidRPr="00774E20">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774E20">
        <w:rPr>
          <w:rFonts w:ascii="Arial" w:eastAsia="Times New Roman" w:hAnsi="Arial" w:cs="Arial"/>
          <w:color w:val="000000"/>
          <w:sz w:val="20"/>
          <w:szCs w:val="20"/>
          <w:lang w:eastAsia="en-IN"/>
        </w:rPr>
        <w:t> </w:t>
      </w:r>
      <w:proofErr w:type="gramStart"/>
      <w:r w:rsidRPr="00774E20">
        <w:rPr>
          <w:rFonts w:ascii="Arial" w:eastAsia="Times New Roman" w:hAnsi="Arial" w:cs="Arial"/>
          <w:color w:val="000000"/>
          <w:sz w:val="20"/>
          <w:szCs w:val="20"/>
          <w:lang w:eastAsia="en-IN"/>
        </w:rPr>
        <w:t>has been updated</w:t>
      </w:r>
      <w:proofErr w:type="gramEnd"/>
      <w:r w:rsidRPr="00774E20">
        <w:rPr>
          <w:rFonts w:ascii="Arial" w:eastAsia="Times New Roman" w:hAnsi="Arial" w:cs="Arial"/>
          <w:color w:val="000000"/>
          <w:sz w:val="20"/>
          <w:szCs w:val="20"/>
          <w:lang w:eastAsia="en-IN"/>
        </w:rPr>
        <w:t xml:space="preserve"> accordingly.</w:t>
      </w:r>
    </w:p>
    <w:p w:rsidR="00774E20" w:rsidRPr="00774E20" w:rsidRDefault="00774E20" w:rsidP="00774E20">
      <w:pPr>
        <w:spacing w:before="100" w:beforeAutospacing="1" w:after="100" w:afterAutospacing="1" w:line="240" w:lineRule="auto"/>
        <w:jc w:val="both"/>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774E20" w:rsidRPr="00774E20" w:rsidRDefault="00774E20" w:rsidP="00774E20">
      <w:pPr>
        <w:spacing w:before="100" w:beforeAutospacing="1" w:after="100" w:afterAutospacing="1" w:line="240" w:lineRule="auto"/>
        <w:jc w:val="right"/>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Yours faithfully,</w:t>
      </w:r>
    </w:p>
    <w:p w:rsidR="00774E20" w:rsidRPr="00774E20" w:rsidRDefault="00774E20" w:rsidP="00774E20">
      <w:pPr>
        <w:spacing w:before="100" w:beforeAutospacing="1" w:after="100" w:afterAutospacing="1" w:line="240" w:lineRule="auto"/>
        <w:jc w:val="right"/>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 xml:space="preserve">(Dimple </w:t>
      </w:r>
      <w:proofErr w:type="spellStart"/>
      <w:r w:rsidRPr="00774E20">
        <w:rPr>
          <w:rFonts w:ascii="Arial" w:eastAsia="Times New Roman" w:hAnsi="Arial" w:cs="Arial"/>
          <w:color w:val="000000"/>
          <w:sz w:val="20"/>
          <w:szCs w:val="20"/>
          <w:lang w:eastAsia="en-IN"/>
        </w:rPr>
        <w:t>Bhandia</w:t>
      </w:r>
      <w:proofErr w:type="spellEnd"/>
      <w:r w:rsidRPr="00774E20">
        <w:rPr>
          <w:rFonts w:ascii="Arial" w:eastAsia="Times New Roman" w:hAnsi="Arial" w:cs="Arial"/>
          <w:color w:val="000000"/>
          <w:sz w:val="20"/>
          <w:szCs w:val="20"/>
          <w:lang w:eastAsia="en-IN"/>
        </w:rPr>
        <w:t>)</w:t>
      </w:r>
      <w:r w:rsidRPr="00774E20">
        <w:rPr>
          <w:rFonts w:ascii="Arial" w:eastAsia="Times New Roman" w:hAnsi="Arial" w:cs="Arial"/>
          <w:color w:val="000000"/>
          <w:sz w:val="20"/>
          <w:szCs w:val="20"/>
          <w:lang w:eastAsia="en-IN"/>
        </w:rPr>
        <w:br/>
        <w:t>Chief General Manager</w:t>
      </w: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r w:rsidRPr="00774E20">
        <w:rPr>
          <w:rFonts w:ascii="Arial" w:eastAsia="Times New Roman" w:hAnsi="Arial" w:cs="Arial"/>
          <w:color w:val="000000"/>
          <w:sz w:val="20"/>
          <w:szCs w:val="20"/>
          <w:lang w:eastAsia="en-IN"/>
        </w:rPr>
        <w:t>For more details, kindly refer:</w:t>
      </w:r>
    </w:p>
    <w:p w:rsidR="00774E20" w:rsidRDefault="00774E20" w:rsidP="00531B24">
      <w:pPr>
        <w:spacing w:before="100" w:beforeAutospacing="1" w:after="100" w:afterAutospacing="1" w:line="240" w:lineRule="auto"/>
        <w:rPr>
          <w:rFonts w:ascii="Arial" w:eastAsia="Times New Roman" w:hAnsi="Arial" w:cs="Arial"/>
          <w:color w:val="000000"/>
          <w:sz w:val="20"/>
          <w:szCs w:val="20"/>
          <w:lang w:eastAsia="en-IN"/>
        </w:rPr>
      </w:pPr>
      <w:hyperlink r:id="rId62" w:history="1">
        <w:r w:rsidRPr="00332F6B">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236D0A"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3E3DE2" w:rsidRPr="003E3DE2" w:rsidRDefault="003E3DE2" w:rsidP="00236D0A">
      <w:pPr>
        <w:spacing w:before="100" w:beforeAutospacing="1" w:after="100" w:afterAutospacing="1" w:line="240" w:lineRule="auto"/>
        <w:jc w:val="both"/>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lastRenderedPageBreak/>
        <w:t>Key Facts Statement (KFS) for Loans &amp; Advances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RBI/2024-25/18</w:t>
      </w:r>
      <w:r w:rsidRPr="00236D0A">
        <w:rPr>
          <w:rFonts w:ascii="Arial" w:eastAsia="Times New Roman" w:hAnsi="Arial" w:cs="Arial"/>
          <w:color w:val="000000"/>
          <w:sz w:val="20"/>
          <w:szCs w:val="20"/>
          <w:lang w:eastAsia="en-IN"/>
        </w:rPr>
        <w:br/>
        <w:t>DOR.STR.REC.13/13.03.00/2024-25</w:t>
      </w:r>
    </w:p>
    <w:p w:rsidR="00236D0A" w:rsidRPr="00236D0A" w:rsidRDefault="00236D0A" w:rsidP="00236D0A">
      <w:pPr>
        <w:spacing w:before="100" w:beforeAutospacing="1" w:after="100" w:afterAutospacing="1" w:line="240" w:lineRule="auto"/>
        <w:jc w:val="right"/>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April 15, 2024</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All Commercial Banks (including Small Finance Banks, Local Area Banks and Regional Rural Banks, excluding Payments Banks)</w:t>
      </w:r>
      <w:r w:rsidRPr="00236D0A">
        <w:rPr>
          <w:rFonts w:ascii="Arial" w:eastAsia="Times New Roman" w:hAnsi="Arial" w:cs="Arial"/>
          <w:color w:val="000000"/>
          <w:sz w:val="20"/>
          <w:szCs w:val="20"/>
          <w:lang w:eastAsia="en-IN"/>
        </w:rPr>
        <w:br/>
        <w:t>All Primary (Urban) Co-operative Banks, State Co-operative Banks and Central Co-operative Banks</w:t>
      </w:r>
      <w:r w:rsidRPr="00236D0A">
        <w:rPr>
          <w:rFonts w:ascii="Arial" w:eastAsia="Times New Roman" w:hAnsi="Arial" w:cs="Arial"/>
          <w:color w:val="000000"/>
          <w:sz w:val="20"/>
          <w:szCs w:val="20"/>
          <w:lang w:eastAsia="en-IN"/>
        </w:rPr>
        <w:br/>
        <w:t>All Non-Banking Financial Companies (including Housing Finance Companies)</w:t>
      </w:r>
    </w:p>
    <w:p w:rsidR="00236D0A" w:rsidRPr="00236D0A" w:rsidRDefault="00236D0A" w:rsidP="00236D0A">
      <w:pPr>
        <w:spacing w:before="100" w:beforeAutospacing="1" w:after="100" w:afterAutospacing="1" w:line="240" w:lineRule="auto"/>
        <w:jc w:val="both"/>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Key Facts Statement (KFS) for Loans &amp; Advances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236D0A">
        <w:rPr>
          <w:rFonts w:ascii="Arial" w:eastAsia="Times New Roman" w:hAnsi="Arial" w:cs="Arial"/>
          <w:color w:val="000000"/>
          <w:sz w:val="20"/>
          <w:szCs w:val="20"/>
          <w:lang w:eastAsia="en-IN"/>
        </w:rPr>
        <w:t>Please refer to our instructions on Key Facts Statement (KFS) and disclosure of Annual Percentage Rate (APR) as contained in paragraph 2 of </w:t>
      </w:r>
      <w:hyperlink r:id="rId63" w:tgtFrame="_blank" w:history="1">
        <w:r w:rsidRPr="00236D0A">
          <w:rPr>
            <w:rFonts w:ascii="Arial" w:eastAsia="Times New Roman" w:hAnsi="Arial" w:cs="Arial"/>
            <w:color w:val="0000FF"/>
            <w:sz w:val="20"/>
            <w:szCs w:val="20"/>
            <w:u w:val="single"/>
            <w:lang w:eastAsia="en-IN"/>
          </w:rPr>
          <w:t>Circular on ‘Display of information by banks’ dated January 22, 2015</w:t>
        </w:r>
      </w:hyperlink>
      <w:r w:rsidRPr="00236D0A">
        <w:rPr>
          <w:rFonts w:ascii="Arial" w:eastAsia="Times New Roman" w:hAnsi="Arial" w:cs="Arial"/>
          <w:color w:val="000000"/>
          <w:sz w:val="20"/>
          <w:szCs w:val="20"/>
          <w:lang w:eastAsia="en-IN"/>
        </w:rPr>
        <w:t>; paragraph 6 of </w:t>
      </w:r>
      <w:hyperlink r:id="rId64" w:tgtFrame="_blank" w:history="1">
        <w:r w:rsidRPr="00236D0A">
          <w:rPr>
            <w:rFonts w:ascii="Arial" w:eastAsia="Times New Roman" w:hAnsi="Arial" w:cs="Arial"/>
            <w:color w:val="0000FF"/>
            <w:sz w:val="20"/>
            <w:szCs w:val="20"/>
            <w:u w:val="single"/>
            <w:lang w:eastAsia="en-IN"/>
          </w:rPr>
          <w:t>Master Direction on ‘Regulatory Framework for Microfinance Loans’ dated March 14, 2022</w:t>
        </w:r>
      </w:hyperlink>
      <w:r w:rsidRPr="00236D0A">
        <w:rPr>
          <w:rFonts w:ascii="Arial" w:eastAsia="Times New Roman" w:hAnsi="Arial" w:cs="Arial"/>
          <w:color w:val="000000"/>
          <w:sz w:val="20"/>
          <w:szCs w:val="20"/>
          <w:lang w:eastAsia="en-IN"/>
        </w:rPr>
        <w:t>; and paragraph 5 of ‘</w:t>
      </w:r>
      <w:hyperlink r:id="rId65" w:tgtFrame="_blank" w:history="1">
        <w:r w:rsidRPr="00236D0A">
          <w:rPr>
            <w:rFonts w:ascii="Arial" w:eastAsia="Times New Roman" w:hAnsi="Arial" w:cs="Arial"/>
            <w:color w:val="0000FF"/>
            <w:sz w:val="20"/>
            <w:szCs w:val="20"/>
            <w:u w:val="single"/>
            <w:lang w:eastAsia="en-IN"/>
          </w:rPr>
          <w:t>Guidelines on Digital Lending’ dated September 2, 2022</w:t>
        </w:r>
      </w:hyperlink>
      <w:r w:rsidRPr="00236D0A">
        <w:rPr>
          <w:rFonts w:ascii="Arial" w:eastAsia="Times New Roman" w:hAnsi="Arial" w:cs="Arial"/>
          <w:color w:val="000000"/>
          <w:sz w:val="20"/>
          <w:szCs w:val="20"/>
          <w:lang w:eastAsia="en-IN"/>
        </w:rPr>
        <w:t>.</w:t>
      </w:r>
      <w:proofErr w:type="gramEnd"/>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2. As announced in the </w:t>
      </w:r>
      <w:hyperlink r:id="rId66" w:tgtFrame="_blank" w:history="1">
        <w:r w:rsidRPr="00236D0A">
          <w:rPr>
            <w:rFonts w:ascii="Arial" w:eastAsia="Times New Roman" w:hAnsi="Arial" w:cs="Arial"/>
            <w:color w:val="0000FF"/>
            <w:sz w:val="20"/>
            <w:szCs w:val="20"/>
            <w:u w:val="single"/>
            <w:lang w:eastAsia="en-IN"/>
          </w:rPr>
          <w:t>Statement on Developmental and Regulatory Policies dated February 8, 2024</w:t>
        </w:r>
      </w:hyperlink>
      <w:r w:rsidRPr="00236D0A">
        <w:rPr>
          <w:rFonts w:ascii="Arial" w:eastAsia="Times New Roman" w:hAnsi="Arial" w:cs="Arial"/>
          <w:color w:val="000000"/>
          <w:sz w:val="20"/>
          <w:szCs w:val="20"/>
          <w:lang w:eastAsia="en-IN"/>
        </w:rPr>
        <w:t xml:space="preserve">, it </w:t>
      </w:r>
      <w:proofErr w:type="gramStart"/>
      <w:r w:rsidRPr="00236D0A">
        <w:rPr>
          <w:rFonts w:ascii="Arial" w:eastAsia="Times New Roman" w:hAnsi="Arial" w:cs="Arial"/>
          <w:color w:val="000000"/>
          <w:sz w:val="20"/>
          <w:szCs w:val="20"/>
          <w:lang w:eastAsia="en-IN"/>
        </w:rPr>
        <w:t>has been decided</w:t>
      </w:r>
      <w:proofErr w:type="gramEnd"/>
      <w:r w:rsidRPr="00236D0A">
        <w:rPr>
          <w:rFonts w:ascii="Arial" w:eastAsia="Times New Roman" w:hAnsi="Arial" w:cs="Arial"/>
          <w:color w:val="000000"/>
          <w:sz w:val="20"/>
          <w:szCs w:val="20"/>
          <w:lang w:eastAsia="en-IN"/>
        </w:rPr>
        <w:t xml:space="preserve"> to harmonize the instructions on the subject. This </w:t>
      </w:r>
      <w:proofErr w:type="gramStart"/>
      <w:r w:rsidRPr="00236D0A">
        <w:rPr>
          <w:rFonts w:ascii="Arial" w:eastAsia="Times New Roman" w:hAnsi="Arial" w:cs="Arial"/>
          <w:color w:val="000000"/>
          <w:sz w:val="20"/>
          <w:szCs w:val="20"/>
          <w:lang w:eastAsia="en-IN"/>
        </w:rPr>
        <w:t>is being done</w:t>
      </w:r>
      <w:proofErr w:type="gramEnd"/>
      <w:r w:rsidRPr="00236D0A">
        <w:rPr>
          <w:rFonts w:ascii="Arial" w:eastAsia="Times New Roman" w:hAnsi="Arial" w:cs="Arial"/>
          <w:color w:val="000000"/>
          <w:sz w:val="20"/>
          <w:szCs w:val="20"/>
          <w:lang w:eastAsia="en-IN"/>
        </w:rPr>
        <w:t xml:space="preserve"> in order to enhance transparency and reduce information asymmetry on financial products being offered by different regulated entities, thereby empowering borrowers for making an informed financial decision. The harmonised instructions shall be applicable in cases of all retail and MSME term loan products extended by all regulated entities (REs).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3. For the purpose of this circular, following terms </w:t>
      </w:r>
      <w:proofErr w:type="gramStart"/>
      <w:r w:rsidRPr="00236D0A">
        <w:rPr>
          <w:rFonts w:ascii="Arial" w:eastAsia="Times New Roman" w:hAnsi="Arial" w:cs="Arial"/>
          <w:color w:val="000000"/>
          <w:sz w:val="20"/>
          <w:szCs w:val="20"/>
          <w:lang w:eastAsia="en-IN"/>
        </w:rPr>
        <w:t>have been defined</w:t>
      </w:r>
      <w:proofErr w:type="gramEnd"/>
      <w:r w:rsidRPr="00236D0A">
        <w:rPr>
          <w:rFonts w:ascii="Arial" w:eastAsia="Times New Roman" w:hAnsi="Arial" w:cs="Arial"/>
          <w:color w:val="000000"/>
          <w:sz w:val="20"/>
          <w:szCs w:val="20"/>
          <w:lang w:eastAsia="en-IN"/>
        </w:rPr>
        <w:t>:</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b/>
          <w:bCs/>
          <w:color w:val="000000"/>
          <w:sz w:val="20"/>
          <w:szCs w:val="20"/>
          <w:lang w:eastAsia="en-IN"/>
        </w:rPr>
        <w:t>(a) Key Facts</w:t>
      </w:r>
      <w:r w:rsidRPr="00236D0A">
        <w:rPr>
          <w:rFonts w:ascii="Arial" w:eastAsia="Times New Roman" w:hAnsi="Arial" w:cs="Arial"/>
          <w:color w:val="000000"/>
          <w:sz w:val="20"/>
          <w:szCs w:val="20"/>
          <w:lang w:eastAsia="en-IN"/>
        </w:rPr>
        <w:t> of a loan agreement between an RE/a group of REs and a borrower are legally significant and deterministic facts that satisfy basic information required to assist the borrower in taking an informed financial decision.</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b/>
          <w:bCs/>
          <w:color w:val="000000"/>
          <w:sz w:val="20"/>
          <w:szCs w:val="20"/>
          <w:lang w:eastAsia="en-IN"/>
        </w:rPr>
        <w:t>(b) Key Facts Statement (KFS)</w:t>
      </w:r>
      <w:r w:rsidRPr="00236D0A">
        <w:rPr>
          <w:rFonts w:ascii="Arial" w:eastAsia="Times New Roman" w:hAnsi="Arial" w:cs="Arial"/>
          <w:color w:val="000000"/>
          <w:sz w:val="20"/>
          <w:szCs w:val="20"/>
          <w:lang w:eastAsia="en-IN"/>
        </w:rPr>
        <w:t> is a statement of key facts of a loan agreement, in simple and easier to understand language, provided to the borrower in a standardised format.</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b/>
          <w:bCs/>
          <w:color w:val="000000"/>
          <w:sz w:val="20"/>
          <w:szCs w:val="20"/>
          <w:lang w:eastAsia="en-IN"/>
        </w:rPr>
        <w:t>(c) Annual Percentage Rate (APR)</w:t>
      </w:r>
      <w:r w:rsidRPr="00236D0A">
        <w:rPr>
          <w:rFonts w:ascii="Arial" w:eastAsia="Times New Roman" w:hAnsi="Arial" w:cs="Arial"/>
          <w:color w:val="000000"/>
          <w:sz w:val="20"/>
          <w:szCs w:val="20"/>
          <w:lang w:eastAsia="en-IN"/>
        </w:rPr>
        <w:t> is the annual cost of credit to the borrower which includes interest rate and all other charges associated with the credit facility.</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b/>
          <w:bCs/>
          <w:color w:val="000000"/>
          <w:sz w:val="20"/>
          <w:szCs w:val="20"/>
          <w:lang w:eastAsia="en-IN"/>
        </w:rPr>
        <w:t>(d) Equated Periodic Instalment (EPI)</w:t>
      </w:r>
      <w:r w:rsidRPr="00236D0A">
        <w:rPr>
          <w:rFonts w:ascii="Arial" w:eastAsia="Times New Roman" w:hAnsi="Arial" w:cs="Arial"/>
          <w:color w:val="000000"/>
          <w:sz w:val="20"/>
          <w:szCs w:val="20"/>
          <w:lang w:eastAsia="en-IN"/>
        </w:rPr>
        <w:t xml:space="preserve"> is an equated or fixed amount of repayments, consisting of both the principal and interest components, to </w:t>
      </w:r>
      <w:proofErr w:type="gramStart"/>
      <w:r w:rsidRPr="00236D0A">
        <w:rPr>
          <w:rFonts w:ascii="Arial" w:eastAsia="Times New Roman" w:hAnsi="Arial" w:cs="Arial"/>
          <w:color w:val="000000"/>
          <w:sz w:val="20"/>
          <w:szCs w:val="20"/>
          <w:lang w:eastAsia="en-IN"/>
        </w:rPr>
        <w:t>be paid</w:t>
      </w:r>
      <w:proofErr w:type="gramEnd"/>
      <w:r w:rsidRPr="00236D0A">
        <w:rPr>
          <w:rFonts w:ascii="Arial" w:eastAsia="Times New Roman" w:hAnsi="Arial" w:cs="Arial"/>
          <w:color w:val="000000"/>
          <w:sz w:val="20"/>
          <w:szCs w:val="20"/>
          <w:lang w:eastAsia="en-IN"/>
        </w:rPr>
        <w:t xml:space="preserve"> by a borrower towards repayment of a loan at periodic intervals for a fixed number of such intervals; and which result in complete amortisation of the loan. EPIs at monthly intervals </w:t>
      </w:r>
      <w:proofErr w:type="gramStart"/>
      <w:r w:rsidRPr="00236D0A">
        <w:rPr>
          <w:rFonts w:ascii="Arial" w:eastAsia="Times New Roman" w:hAnsi="Arial" w:cs="Arial"/>
          <w:color w:val="000000"/>
          <w:sz w:val="20"/>
          <w:szCs w:val="20"/>
          <w:lang w:eastAsia="en-IN"/>
        </w:rPr>
        <w:t>are called</w:t>
      </w:r>
      <w:proofErr w:type="gramEnd"/>
      <w:r w:rsidRPr="00236D0A">
        <w:rPr>
          <w:rFonts w:ascii="Arial" w:eastAsia="Times New Roman" w:hAnsi="Arial" w:cs="Arial"/>
          <w:color w:val="000000"/>
          <w:sz w:val="20"/>
          <w:szCs w:val="20"/>
          <w:lang w:eastAsia="en-IN"/>
        </w:rPr>
        <w:t xml:space="preserve"> EMIs.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Other words and expressions not defined above, but used in this circular, shall have the same meaning as assigned to them under the </w:t>
      </w:r>
      <w:hyperlink r:id="rId67" w:tgtFrame="_blank" w:history="1">
        <w:r w:rsidRPr="00236D0A">
          <w:rPr>
            <w:rFonts w:ascii="Arial" w:eastAsia="Times New Roman" w:hAnsi="Arial" w:cs="Arial"/>
            <w:color w:val="0000FF"/>
            <w:sz w:val="20"/>
            <w:szCs w:val="20"/>
            <w:u w:val="single"/>
            <w:lang w:eastAsia="en-IN"/>
          </w:rPr>
          <w:t>Master Direction on Interest Rate on Advances (2016)</w:t>
        </w:r>
      </w:hyperlink>
      <w:r w:rsidRPr="00236D0A">
        <w:rPr>
          <w:rFonts w:ascii="Arial" w:eastAsia="Times New Roman" w:hAnsi="Arial" w:cs="Arial"/>
          <w:color w:val="000000"/>
          <w:sz w:val="20"/>
          <w:szCs w:val="20"/>
          <w:lang w:eastAsia="en-IN"/>
        </w:rPr>
        <w:t> as updated from time to time or any other relevant regulation issued by the Reserve Bank.</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4. REs shall provide a KFS to all prospective borrowers to help them take an informed view before executing the loan contract, as per the standardised format given in the </w:t>
      </w:r>
      <w:hyperlink r:id="rId68" w:tgtFrame="_blank" w:history="1">
        <w:r w:rsidRPr="00236D0A">
          <w:rPr>
            <w:rFonts w:ascii="Arial" w:eastAsia="Times New Roman" w:hAnsi="Arial" w:cs="Arial"/>
            <w:b/>
            <w:bCs/>
            <w:color w:val="0000FF"/>
            <w:sz w:val="20"/>
            <w:szCs w:val="20"/>
            <w:u w:val="single"/>
            <w:lang w:eastAsia="en-IN"/>
          </w:rPr>
          <w:t>Annex A</w:t>
        </w:r>
      </w:hyperlink>
      <w:r w:rsidRPr="00236D0A">
        <w:rPr>
          <w:rFonts w:ascii="Arial" w:eastAsia="Times New Roman" w:hAnsi="Arial" w:cs="Arial"/>
          <w:color w:val="000000"/>
          <w:sz w:val="20"/>
          <w:szCs w:val="20"/>
          <w:lang w:eastAsia="en-IN"/>
        </w:rPr>
        <w:t xml:space="preserve">. The KFS </w:t>
      </w:r>
      <w:proofErr w:type="gramStart"/>
      <w:r w:rsidRPr="00236D0A">
        <w:rPr>
          <w:rFonts w:ascii="Arial" w:eastAsia="Times New Roman" w:hAnsi="Arial" w:cs="Arial"/>
          <w:color w:val="000000"/>
          <w:sz w:val="20"/>
          <w:szCs w:val="20"/>
          <w:lang w:eastAsia="en-IN"/>
        </w:rPr>
        <w:t>shall be written</w:t>
      </w:r>
      <w:proofErr w:type="gramEnd"/>
      <w:r w:rsidRPr="00236D0A">
        <w:rPr>
          <w:rFonts w:ascii="Arial" w:eastAsia="Times New Roman" w:hAnsi="Arial" w:cs="Arial"/>
          <w:color w:val="000000"/>
          <w:sz w:val="20"/>
          <w:szCs w:val="20"/>
          <w:lang w:eastAsia="en-IN"/>
        </w:rPr>
        <w:t xml:space="preserve"> in a language understood by such borrowers. Contents of KFS </w:t>
      </w:r>
      <w:proofErr w:type="gramStart"/>
      <w:r w:rsidRPr="00236D0A">
        <w:rPr>
          <w:rFonts w:ascii="Arial" w:eastAsia="Times New Roman" w:hAnsi="Arial" w:cs="Arial"/>
          <w:color w:val="000000"/>
          <w:sz w:val="20"/>
          <w:szCs w:val="20"/>
          <w:lang w:eastAsia="en-IN"/>
        </w:rPr>
        <w:t>shall be explained</w:t>
      </w:r>
      <w:proofErr w:type="gramEnd"/>
      <w:r w:rsidRPr="00236D0A">
        <w:rPr>
          <w:rFonts w:ascii="Arial" w:eastAsia="Times New Roman" w:hAnsi="Arial" w:cs="Arial"/>
          <w:color w:val="000000"/>
          <w:sz w:val="20"/>
          <w:szCs w:val="20"/>
          <w:lang w:eastAsia="en-IN"/>
        </w:rPr>
        <w:t xml:space="preserve"> to the borrower and an acknowledgement shall be obtained that he/she has understood the same.</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5. Further, the KFS </w:t>
      </w:r>
      <w:proofErr w:type="gramStart"/>
      <w:r w:rsidRPr="00236D0A">
        <w:rPr>
          <w:rFonts w:ascii="Arial" w:eastAsia="Times New Roman" w:hAnsi="Arial" w:cs="Arial"/>
          <w:color w:val="000000"/>
          <w:sz w:val="20"/>
          <w:szCs w:val="20"/>
          <w:lang w:eastAsia="en-IN"/>
        </w:rPr>
        <w:t>shall be provided</w:t>
      </w:r>
      <w:proofErr w:type="gramEnd"/>
      <w:r w:rsidRPr="00236D0A">
        <w:rPr>
          <w:rFonts w:ascii="Arial" w:eastAsia="Times New Roman" w:hAnsi="Arial" w:cs="Arial"/>
          <w:color w:val="000000"/>
          <w:sz w:val="20"/>
          <w:szCs w:val="20"/>
          <w:lang w:eastAsia="en-IN"/>
        </w:rPr>
        <w:t xml:space="preserve"> with a unique proposal number and shall have a validity period of at least three working days for loans having tenor of seven days or more, and a validity period of one working day for loans having tenor of less than seven days.</w:t>
      </w:r>
      <w:hyperlink r:id="rId69" w:anchor="F1" w:history="1">
        <w:r w:rsidRPr="00236D0A">
          <w:rPr>
            <w:rFonts w:ascii="Arial" w:eastAsia="Times New Roman" w:hAnsi="Arial" w:cs="Arial"/>
            <w:color w:val="0000FF"/>
            <w:sz w:val="15"/>
            <w:szCs w:val="15"/>
            <w:u w:val="single"/>
            <w:vertAlign w:val="superscript"/>
            <w:lang w:eastAsia="en-IN"/>
          </w:rPr>
          <w:t>1</w:t>
        </w:r>
      </w:hyperlink>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i/>
          <w:iCs/>
          <w:color w:val="000000"/>
          <w:sz w:val="20"/>
          <w:szCs w:val="20"/>
          <w:u w:val="single"/>
          <w:lang w:eastAsia="en-IN"/>
        </w:rPr>
        <w:t>Explanation</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lastRenderedPageBreak/>
        <w:t xml:space="preserve">Validity period refers to the period available to the borrower, after </w:t>
      </w:r>
      <w:proofErr w:type="gramStart"/>
      <w:r w:rsidRPr="00236D0A">
        <w:rPr>
          <w:rFonts w:ascii="Arial" w:eastAsia="Times New Roman" w:hAnsi="Arial" w:cs="Arial"/>
          <w:color w:val="000000"/>
          <w:sz w:val="20"/>
          <w:szCs w:val="20"/>
          <w:lang w:eastAsia="en-IN"/>
        </w:rPr>
        <w:t>being provided</w:t>
      </w:r>
      <w:proofErr w:type="gramEnd"/>
      <w:r w:rsidRPr="00236D0A">
        <w:rPr>
          <w:rFonts w:ascii="Arial" w:eastAsia="Times New Roman" w:hAnsi="Arial" w:cs="Arial"/>
          <w:color w:val="000000"/>
          <w:sz w:val="20"/>
          <w:szCs w:val="20"/>
          <w:lang w:eastAsia="en-IN"/>
        </w:rPr>
        <w:t xml:space="preserve"> the KFS by the RE, to agree to the terms of the loan. The RE </w:t>
      </w:r>
      <w:proofErr w:type="gramStart"/>
      <w:r w:rsidRPr="00236D0A">
        <w:rPr>
          <w:rFonts w:ascii="Arial" w:eastAsia="Times New Roman" w:hAnsi="Arial" w:cs="Arial"/>
          <w:color w:val="000000"/>
          <w:sz w:val="20"/>
          <w:szCs w:val="20"/>
          <w:lang w:eastAsia="en-IN"/>
        </w:rPr>
        <w:t>shall be bound</w:t>
      </w:r>
      <w:proofErr w:type="gramEnd"/>
      <w:r w:rsidRPr="00236D0A">
        <w:rPr>
          <w:rFonts w:ascii="Arial" w:eastAsia="Times New Roman" w:hAnsi="Arial" w:cs="Arial"/>
          <w:color w:val="000000"/>
          <w:sz w:val="20"/>
          <w:szCs w:val="20"/>
          <w:lang w:eastAsia="en-IN"/>
        </w:rPr>
        <w:t xml:space="preserve"> by the terms of the loan indicated in the KFS, if agreed to by the borrower during the validity period.</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6. The KFS shall also include a computation sheet of annual percentage rate (APR), and the amortisation schedule of the loan over the loan tenor. APR will include all </w:t>
      </w:r>
      <w:proofErr w:type="gramStart"/>
      <w:r w:rsidRPr="00236D0A">
        <w:rPr>
          <w:rFonts w:ascii="Arial" w:eastAsia="Times New Roman" w:hAnsi="Arial" w:cs="Arial"/>
          <w:color w:val="000000"/>
          <w:sz w:val="20"/>
          <w:szCs w:val="20"/>
          <w:lang w:eastAsia="en-IN"/>
        </w:rPr>
        <w:t>charges which</w:t>
      </w:r>
      <w:proofErr w:type="gramEnd"/>
      <w:r w:rsidRPr="00236D0A">
        <w:rPr>
          <w:rFonts w:ascii="Arial" w:eastAsia="Times New Roman" w:hAnsi="Arial" w:cs="Arial"/>
          <w:color w:val="000000"/>
          <w:sz w:val="20"/>
          <w:szCs w:val="20"/>
          <w:lang w:eastAsia="en-IN"/>
        </w:rPr>
        <w:t xml:space="preserve"> are levied by the RE. Illustrative examples of calculation of APR and disclosure of repayment schedule for a hypothetical loan </w:t>
      </w:r>
      <w:proofErr w:type="gramStart"/>
      <w:r w:rsidRPr="00236D0A">
        <w:rPr>
          <w:rFonts w:ascii="Arial" w:eastAsia="Times New Roman" w:hAnsi="Arial" w:cs="Arial"/>
          <w:color w:val="000000"/>
          <w:sz w:val="20"/>
          <w:szCs w:val="20"/>
          <w:lang w:eastAsia="en-IN"/>
        </w:rPr>
        <w:t>are given</w:t>
      </w:r>
      <w:proofErr w:type="gramEnd"/>
      <w:r w:rsidRPr="00236D0A">
        <w:rPr>
          <w:rFonts w:ascii="Arial" w:eastAsia="Times New Roman" w:hAnsi="Arial" w:cs="Arial"/>
          <w:color w:val="000000"/>
          <w:sz w:val="20"/>
          <w:szCs w:val="20"/>
          <w:lang w:eastAsia="en-IN"/>
        </w:rPr>
        <w:t xml:space="preserve"> in </w:t>
      </w:r>
      <w:hyperlink r:id="rId70" w:tgtFrame="_blank" w:history="1">
        <w:r w:rsidRPr="00236D0A">
          <w:rPr>
            <w:rFonts w:ascii="Arial" w:eastAsia="Times New Roman" w:hAnsi="Arial" w:cs="Arial"/>
            <w:b/>
            <w:bCs/>
            <w:color w:val="0000FF"/>
            <w:sz w:val="20"/>
            <w:szCs w:val="20"/>
            <w:u w:val="single"/>
            <w:lang w:eastAsia="en-IN"/>
          </w:rPr>
          <w:t>Annex B</w:t>
        </w:r>
      </w:hyperlink>
      <w:r w:rsidRPr="00236D0A">
        <w:rPr>
          <w:rFonts w:ascii="Arial" w:eastAsia="Times New Roman" w:hAnsi="Arial" w:cs="Arial"/>
          <w:b/>
          <w:bCs/>
          <w:color w:val="000000"/>
          <w:sz w:val="20"/>
          <w:szCs w:val="20"/>
          <w:lang w:eastAsia="en-IN"/>
        </w:rPr>
        <w:t> and </w:t>
      </w:r>
      <w:hyperlink r:id="rId71" w:tgtFrame="_blank" w:history="1">
        <w:r w:rsidRPr="00236D0A">
          <w:rPr>
            <w:rFonts w:ascii="Arial" w:eastAsia="Times New Roman" w:hAnsi="Arial" w:cs="Arial"/>
            <w:b/>
            <w:bCs/>
            <w:color w:val="0000FF"/>
            <w:sz w:val="20"/>
            <w:szCs w:val="20"/>
            <w:u w:val="single"/>
            <w:lang w:eastAsia="en-IN"/>
          </w:rPr>
          <w:t>C</w:t>
        </w:r>
      </w:hyperlink>
      <w:r w:rsidRPr="00236D0A">
        <w:rPr>
          <w:rFonts w:ascii="Arial" w:eastAsia="Times New Roman" w:hAnsi="Arial" w:cs="Arial"/>
          <w:b/>
          <w:bCs/>
          <w:color w:val="000000"/>
          <w:sz w:val="20"/>
          <w:szCs w:val="20"/>
          <w:lang w:eastAsia="en-IN"/>
        </w:rPr>
        <w:t> respectively</w:t>
      </w:r>
      <w:r w:rsidRPr="00236D0A">
        <w:rPr>
          <w:rFonts w:ascii="Arial" w:eastAsia="Times New Roman" w:hAnsi="Arial" w:cs="Arial"/>
          <w:color w:val="000000"/>
          <w:sz w:val="20"/>
          <w:szCs w:val="20"/>
          <w:lang w:eastAsia="en-IN"/>
        </w:rPr>
        <w:t>.</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7. Charges recovered from the borrowers by the REs on behalf of third-party service providers on actual basis, such as insurance charges, legal charges etc</w:t>
      </w:r>
      <w:proofErr w:type="gramStart"/>
      <w:r w:rsidRPr="00236D0A">
        <w:rPr>
          <w:rFonts w:ascii="Arial" w:eastAsia="Times New Roman" w:hAnsi="Arial" w:cs="Arial"/>
          <w:color w:val="000000"/>
          <w:sz w:val="20"/>
          <w:szCs w:val="20"/>
          <w:lang w:eastAsia="en-IN"/>
        </w:rPr>
        <w:t>.,</w:t>
      </w:r>
      <w:proofErr w:type="gramEnd"/>
      <w:r w:rsidRPr="00236D0A">
        <w:rPr>
          <w:rFonts w:ascii="Arial" w:eastAsia="Times New Roman" w:hAnsi="Arial" w:cs="Arial"/>
          <w:color w:val="000000"/>
          <w:sz w:val="20"/>
          <w:szCs w:val="20"/>
          <w:lang w:eastAsia="en-IN"/>
        </w:rPr>
        <w:t xml:space="preserve"> shall also form part of the APR and shall be disclosed separately. In all cases wherever the RE is involved in recovering such charges, the receipts and related documents </w:t>
      </w:r>
      <w:proofErr w:type="gramStart"/>
      <w:r w:rsidRPr="00236D0A">
        <w:rPr>
          <w:rFonts w:ascii="Arial" w:eastAsia="Times New Roman" w:hAnsi="Arial" w:cs="Arial"/>
          <w:color w:val="000000"/>
          <w:sz w:val="20"/>
          <w:szCs w:val="20"/>
          <w:lang w:eastAsia="en-IN"/>
        </w:rPr>
        <w:t>shall be provided</w:t>
      </w:r>
      <w:proofErr w:type="gramEnd"/>
      <w:r w:rsidRPr="00236D0A">
        <w:rPr>
          <w:rFonts w:ascii="Arial" w:eastAsia="Times New Roman" w:hAnsi="Arial" w:cs="Arial"/>
          <w:color w:val="000000"/>
          <w:sz w:val="20"/>
          <w:szCs w:val="20"/>
          <w:lang w:eastAsia="en-IN"/>
        </w:rPr>
        <w:t xml:space="preserve"> to the borrower for each payment, within a reasonable time.</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8. Any fees, charges, etc. which are not mentioned in the KFS, cannot be charged by the REs to the borrower at any stage during the term of the loan, without explicit consent of the borrower.</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9. The KFS shall also be included as a summary box to </w:t>
      </w:r>
      <w:proofErr w:type="gramStart"/>
      <w:r w:rsidRPr="00236D0A">
        <w:rPr>
          <w:rFonts w:ascii="Arial" w:eastAsia="Times New Roman" w:hAnsi="Arial" w:cs="Arial"/>
          <w:color w:val="000000"/>
          <w:sz w:val="20"/>
          <w:szCs w:val="20"/>
          <w:lang w:eastAsia="en-IN"/>
        </w:rPr>
        <w:t>be exhibited</w:t>
      </w:r>
      <w:proofErr w:type="gramEnd"/>
      <w:r w:rsidRPr="00236D0A">
        <w:rPr>
          <w:rFonts w:ascii="Arial" w:eastAsia="Times New Roman" w:hAnsi="Arial" w:cs="Arial"/>
          <w:color w:val="000000"/>
          <w:sz w:val="20"/>
          <w:szCs w:val="20"/>
          <w:lang w:eastAsia="en-IN"/>
        </w:rPr>
        <w:t xml:space="preserve"> as part of the loan agreement.</w:t>
      </w:r>
    </w:p>
    <w:p w:rsidR="00236D0A" w:rsidRPr="00236D0A" w:rsidRDefault="00236D0A" w:rsidP="00236D0A">
      <w:pPr>
        <w:spacing w:before="100" w:beforeAutospacing="1" w:after="100" w:afterAutospacing="1" w:line="240" w:lineRule="auto"/>
        <w:jc w:val="both"/>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Exemptions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10. Credit card receivables </w:t>
      </w:r>
      <w:proofErr w:type="gramStart"/>
      <w:r w:rsidRPr="00236D0A">
        <w:rPr>
          <w:rFonts w:ascii="Arial" w:eastAsia="Times New Roman" w:hAnsi="Arial" w:cs="Arial"/>
          <w:color w:val="000000"/>
          <w:sz w:val="20"/>
          <w:szCs w:val="20"/>
          <w:lang w:eastAsia="en-IN"/>
        </w:rPr>
        <w:t>are exempted</w:t>
      </w:r>
      <w:proofErr w:type="gramEnd"/>
      <w:r w:rsidRPr="00236D0A">
        <w:rPr>
          <w:rFonts w:ascii="Arial" w:eastAsia="Times New Roman" w:hAnsi="Arial" w:cs="Arial"/>
          <w:color w:val="000000"/>
          <w:sz w:val="20"/>
          <w:szCs w:val="20"/>
          <w:lang w:eastAsia="en-IN"/>
        </w:rPr>
        <w:t xml:space="preserve"> from the provisions contained under this circular.</w:t>
      </w:r>
    </w:p>
    <w:p w:rsidR="00236D0A" w:rsidRPr="00236D0A" w:rsidRDefault="00236D0A" w:rsidP="00236D0A">
      <w:pPr>
        <w:spacing w:before="100" w:beforeAutospacing="1" w:after="100" w:afterAutospacing="1" w:line="240" w:lineRule="auto"/>
        <w:jc w:val="both"/>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Applicability and Commencement</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11. REs shall put in place the necessary systems and processes to implement the above guidelines at the earliest. In any case, all new retail and MSME term loans sanctioned on or after October 1, 2024, including fresh loans to existing customers, shall comply with the above guidelines in letter and spirit without any exception. During the interregnum, the relevant provisions on ‘KFS/Factsheet’ under the extant guidelines shall continue to remain applicable, including the ‘</w:t>
      </w:r>
      <w:hyperlink r:id="rId72" w:tgtFrame="_blank" w:history="1">
        <w:r w:rsidRPr="00236D0A">
          <w:rPr>
            <w:rFonts w:ascii="Arial" w:eastAsia="Times New Roman" w:hAnsi="Arial" w:cs="Arial"/>
            <w:color w:val="0000FF"/>
            <w:sz w:val="20"/>
            <w:szCs w:val="20"/>
            <w:u w:val="single"/>
            <w:lang w:eastAsia="en-IN"/>
          </w:rPr>
          <w:t>Guidelines on Digital Lending</w:t>
        </w:r>
      </w:hyperlink>
      <w:r w:rsidRPr="00236D0A">
        <w:rPr>
          <w:rFonts w:ascii="Arial" w:eastAsia="Times New Roman" w:hAnsi="Arial" w:cs="Arial"/>
          <w:color w:val="000000"/>
          <w:sz w:val="20"/>
          <w:szCs w:val="20"/>
          <w:lang w:eastAsia="en-IN"/>
        </w:rPr>
        <w:t>’, the </w:t>
      </w:r>
      <w:hyperlink r:id="rId73" w:tgtFrame="_blank" w:history="1">
        <w:r w:rsidRPr="00236D0A">
          <w:rPr>
            <w:rFonts w:ascii="Arial" w:eastAsia="Times New Roman" w:hAnsi="Arial" w:cs="Arial"/>
            <w:color w:val="0000FF"/>
            <w:sz w:val="20"/>
            <w:szCs w:val="20"/>
            <w:u w:val="single"/>
            <w:lang w:eastAsia="en-IN"/>
          </w:rPr>
          <w:t>Master Direction on ‘Regulatory Framework for Microfinance Loans’</w:t>
        </w:r>
      </w:hyperlink>
      <w:r w:rsidRPr="00236D0A">
        <w:rPr>
          <w:rFonts w:ascii="Arial" w:eastAsia="Times New Roman" w:hAnsi="Arial" w:cs="Arial"/>
          <w:color w:val="000000"/>
          <w:sz w:val="20"/>
          <w:szCs w:val="20"/>
          <w:lang w:eastAsia="en-IN"/>
        </w:rPr>
        <w:t>, and the </w:t>
      </w:r>
      <w:hyperlink r:id="rId74" w:tgtFrame="_blank" w:history="1">
        <w:r w:rsidRPr="00236D0A">
          <w:rPr>
            <w:rFonts w:ascii="Arial" w:eastAsia="Times New Roman" w:hAnsi="Arial" w:cs="Arial"/>
            <w:color w:val="0000FF"/>
            <w:sz w:val="20"/>
            <w:szCs w:val="20"/>
            <w:u w:val="single"/>
            <w:lang w:eastAsia="en-IN"/>
          </w:rPr>
          <w:t>circular on ‘Display of Information by Banks’</w:t>
        </w:r>
      </w:hyperlink>
      <w:r w:rsidRPr="00236D0A">
        <w:rPr>
          <w:rFonts w:ascii="Arial" w:eastAsia="Times New Roman" w:hAnsi="Arial" w:cs="Arial"/>
          <w:color w:val="000000"/>
          <w:sz w:val="20"/>
          <w:szCs w:val="20"/>
          <w:lang w:eastAsia="en-IN"/>
        </w:rPr>
        <w:t>.</w:t>
      </w:r>
    </w:p>
    <w:p w:rsidR="00236D0A" w:rsidRPr="00236D0A" w:rsidRDefault="00236D0A" w:rsidP="00236D0A">
      <w:pPr>
        <w:spacing w:before="100" w:beforeAutospacing="1" w:after="100" w:afterAutospacing="1" w:line="240" w:lineRule="auto"/>
        <w:jc w:val="both"/>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Legal Provisions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12. The above instructions </w:t>
      </w:r>
      <w:proofErr w:type="gramStart"/>
      <w:r w:rsidRPr="00236D0A">
        <w:rPr>
          <w:rFonts w:ascii="Arial" w:eastAsia="Times New Roman" w:hAnsi="Arial" w:cs="Arial"/>
          <w:color w:val="000000"/>
          <w:sz w:val="20"/>
          <w:szCs w:val="20"/>
          <w:lang w:eastAsia="en-IN"/>
        </w:rPr>
        <w:t>are issued</w:t>
      </w:r>
      <w:proofErr w:type="gramEnd"/>
      <w:r w:rsidRPr="00236D0A">
        <w:rPr>
          <w:rFonts w:ascii="Arial" w:eastAsia="Times New Roman" w:hAnsi="Arial" w:cs="Arial"/>
          <w:color w:val="000000"/>
          <w:sz w:val="20"/>
          <w:szCs w:val="20"/>
          <w:lang w:eastAsia="en-IN"/>
        </w:rPr>
        <w:t xml:space="preserve"> under sections 21, 35A and 56 of the Banking Regulation Act, 1949, sections 45JA, 45L and 45M of the Reserve Bank of India Act, 1934, and sections 30A and 32 of the National Housing Bank Act, 1987.</w:t>
      </w:r>
    </w:p>
    <w:p w:rsidR="00236D0A" w:rsidRPr="00236D0A" w:rsidRDefault="00236D0A" w:rsidP="00236D0A">
      <w:pPr>
        <w:spacing w:before="100" w:beforeAutospacing="1" w:after="100" w:afterAutospacing="1" w:line="240" w:lineRule="auto"/>
        <w:jc w:val="both"/>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Repeal</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13. With the issue of these guidelines, the instructions/guidelines contained in the following circulars, issued by the Reserve Bank stand repealed.</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7"/>
        <w:gridCol w:w="3337"/>
        <w:gridCol w:w="1069"/>
        <w:gridCol w:w="3797"/>
      </w:tblGrid>
      <w:tr w:rsidR="00236D0A" w:rsidRPr="00236D0A" w:rsidTr="00236D0A">
        <w:trPr>
          <w:jc w:val="center"/>
        </w:trPr>
        <w:tc>
          <w:tcPr>
            <w:tcW w:w="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No</w:t>
            </w:r>
          </w:p>
        </w:tc>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Circular No.</w:t>
            </w:r>
          </w:p>
        </w:tc>
        <w:tc>
          <w:tcPr>
            <w:tcW w:w="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Date</w:t>
            </w:r>
          </w:p>
        </w:tc>
        <w:tc>
          <w:tcPr>
            <w:tcW w:w="2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b/>
                <w:bCs/>
                <w:color w:val="000000"/>
                <w:sz w:val="20"/>
                <w:szCs w:val="20"/>
                <w:lang w:eastAsia="en-IN"/>
              </w:rPr>
            </w:pPr>
            <w:r w:rsidRPr="00236D0A">
              <w:rPr>
                <w:rFonts w:ascii="Arial" w:eastAsia="Times New Roman" w:hAnsi="Arial" w:cs="Arial"/>
                <w:b/>
                <w:bCs/>
                <w:color w:val="000000"/>
                <w:sz w:val="20"/>
                <w:szCs w:val="20"/>
                <w:lang w:eastAsia="en-IN"/>
              </w:rPr>
              <w:t>Subject</w:t>
            </w:r>
          </w:p>
        </w:tc>
      </w:tr>
      <w:tr w:rsidR="00236D0A" w:rsidRPr="00236D0A" w:rsidTr="00236D0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both"/>
              <w:rPr>
                <w:rFonts w:ascii="Arial" w:eastAsia="Times New Roman" w:hAnsi="Arial" w:cs="Arial"/>
                <w:color w:val="000000"/>
                <w:sz w:val="20"/>
                <w:szCs w:val="20"/>
                <w:lang w:eastAsia="en-IN"/>
              </w:rPr>
            </w:pPr>
            <w:hyperlink r:id="rId75" w:tgtFrame="_blank" w:history="1">
              <w:r w:rsidRPr="00236D0A">
                <w:rPr>
                  <w:rFonts w:ascii="Arial" w:eastAsia="Times New Roman" w:hAnsi="Arial" w:cs="Arial"/>
                  <w:color w:val="0000FF"/>
                  <w:sz w:val="20"/>
                  <w:szCs w:val="20"/>
                  <w:u w:val="single"/>
                  <w:lang w:eastAsia="en-IN"/>
                </w:rPr>
                <w:t>DBR.Leg.No.BC.64/09.07.005/2014-15</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January 22, 2015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Para 2 (b) of Circular on Display of information by banks</w:t>
            </w:r>
          </w:p>
        </w:tc>
      </w:tr>
      <w:tr w:rsidR="00236D0A" w:rsidRPr="00236D0A" w:rsidTr="00236D0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both"/>
              <w:rPr>
                <w:rFonts w:ascii="Arial" w:eastAsia="Times New Roman" w:hAnsi="Arial" w:cs="Arial"/>
                <w:color w:val="000000"/>
                <w:sz w:val="20"/>
                <w:szCs w:val="20"/>
                <w:lang w:eastAsia="en-IN"/>
              </w:rPr>
            </w:pPr>
            <w:hyperlink r:id="rId76" w:tgtFrame="_blank" w:history="1">
              <w:r w:rsidRPr="00236D0A">
                <w:rPr>
                  <w:rFonts w:ascii="Arial" w:eastAsia="Times New Roman" w:hAnsi="Arial" w:cs="Arial"/>
                  <w:color w:val="0000FF"/>
                  <w:sz w:val="20"/>
                  <w:szCs w:val="20"/>
                  <w:u w:val="single"/>
                  <w:lang w:eastAsia="en-IN"/>
                </w:rPr>
                <w:t>DoR.FIN.REC.95/03.10.038/2021-22</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March 14,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Para 6.3, 6.4 &amp; 6.5 of Master Direction – Reserve Bank of India (Regulatory Framework for Microfinance Loans) Directions, 2022</w:t>
            </w:r>
          </w:p>
        </w:tc>
      </w:tr>
      <w:tr w:rsidR="00236D0A" w:rsidRPr="00236D0A" w:rsidTr="00236D0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both"/>
              <w:rPr>
                <w:rFonts w:ascii="Arial" w:eastAsia="Times New Roman" w:hAnsi="Arial" w:cs="Arial"/>
                <w:color w:val="000000"/>
                <w:sz w:val="20"/>
                <w:szCs w:val="20"/>
                <w:lang w:eastAsia="en-IN"/>
              </w:rPr>
            </w:pPr>
            <w:hyperlink r:id="rId77" w:tgtFrame="_blank" w:history="1">
              <w:r w:rsidRPr="00236D0A">
                <w:rPr>
                  <w:rFonts w:ascii="Arial" w:eastAsia="Times New Roman" w:hAnsi="Arial" w:cs="Arial"/>
                  <w:color w:val="0000FF"/>
                  <w:sz w:val="20"/>
                  <w:szCs w:val="20"/>
                  <w:u w:val="single"/>
                  <w:lang w:eastAsia="en-IN"/>
                </w:rPr>
                <w:t>DOR.CRE.REC.66/21.07.001/2022-23</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center"/>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September 02,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36D0A" w:rsidRPr="00236D0A" w:rsidRDefault="00236D0A" w:rsidP="00236D0A">
            <w:pPr>
              <w:spacing w:after="0"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Para 5.1, 5.2 of Guidelines on Digital Lending</w:t>
            </w:r>
          </w:p>
        </w:tc>
      </w:tr>
    </w:tbl>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 xml:space="preserve">All the repealed circulars/provisions </w:t>
      </w:r>
      <w:proofErr w:type="gramStart"/>
      <w:r w:rsidRPr="00236D0A">
        <w:rPr>
          <w:rFonts w:ascii="Arial" w:eastAsia="Times New Roman" w:hAnsi="Arial" w:cs="Arial"/>
          <w:color w:val="000000"/>
          <w:sz w:val="20"/>
          <w:szCs w:val="20"/>
          <w:lang w:eastAsia="en-IN"/>
        </w:rPr>
        <w:t>shall be deemed</w:t>
      </w:r>
      <w:proofErr w:type="gramEnd"/>
      <w:r w:rsidRPr="00236D0A">
        <w:rPr>
          <w:rFonts w:ascii="Arial" w:eastAsia="Times New Roman" w:hAnsi="Arial" w:cs="Arial"/>
          <w:color w:val="000000"/>
          <w:sz w:val="20"/>
          <w:szCs w:val="20"/>
          <w:lang w:eastAsia="en-IN"/>
        </w:rPr>
        <w:t xml:space="preserve"> to have been in force during the relevant periods, prior to the coming into effect of these directions.</w:t>
      </w:r>
    </w:p>
    <w:p w:rsidR="00236D0A" w:rsidRPr="00236D0A" w:rsidRDefault="00236D0A" w:rsidP="00236D0A">
      <w:pPr>
        <w:spacing w:before="100" w:beforeAutospacing="1" w:after="100" w:afterAutospacing="1" w:line="240" w:lineRule="auto"/>
        <w:jc w:val="both"/>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lastRenderedPageBreak/>
        <w:t>Yours faithfully,</w:t>
      </w:r>
    </w:p>
    <w:p w:rsidR="00236D0A" w:rsidRDefault="00236D0A" w:rsidP="00236D0A">
      <w:pPr>
        <w:spacing w:before="100" w:beforeAutospacing="1" w:after="100" w:afterAutospacing="1" w:line="240" w:lineRule="auto"/>
        <w:rPr>
          <w:rFonts w:ascii="Arial" w:eastAsia="Times New Roman" w:hAnsi="Arial" w:cs="Arial"/>
          <w:color w:val="000000"/>
          <w:sz w:val="20"/>
          <w:szCs w:val="20"/>
          <w:lang w:eastAsia="en-IN"/>
        </w:rPr>
      </w:pPr>
      <w:proofErr w:type="spellStart"/>
      <w:r w:rsidRPr="00236D0A">
        <w:rPr>
          <w:rFonts w:ascii="Arial" w:eastAsia="Times New Roman" w:hAnsi="Arial" w:cs="Arial"/>
          <w:color w:val="000000"/>
          <w:sz w:val="20"/>
          <w:szCs w:val="20"/>
          <w:lang w:eastAsia="en-IN"/>
        </w:rPr>
        <w:t>Vaibhav</w:t>
      </w:r>
      <w:proofErr w:type="spellEnd"/>
      <w:r w:rsidRPr="00236D0A">
        <w:rPr>
          <w:rFonts w:ascii="Arial" w:eastAsia="Times New Roman" w:hAnsi="Arial" w:cs="Arial"/>
          <w:color w:val="000000"/>
          <w:sz w:val="20"/>
          <w:szCs w:val="20"/>
          <w:lang w:eastAsia="en-IN"/>
        </w:rPr>
        <w:t xml:space="preserve"> </w:t>
      </w:r>
      <w:proofErr w:type="spellStart"/>
      <w:proofErr w:type="gramStart"/>
      <w:r w:rsidRPr="00236D0A">
        <w:rPr>
          <w:rFonts w:ascii="Arial" w:eastAsia="Times New Roman" w:hAnsi="Arial" w:cs="Arial"/>
          <w:color w:val="000000"/>
          <w:sz w:val="20"/>
          <w:szCs w:val="20"/>
          <w:lang w:eastAsia="en-IN"/>
        </w:rPr>
        <w:t>Chaturvedi</w:t>
      </w:r>
      <w:proofErr w:type="spellEnd"/>
      <w:proofErr w:type="gramEnd"/>
      <w:r w:rsidRPr="00236D0A">
        <w:rPr>
          <w:rFonts w:ascii="Arial" w:eastAsia="Times New Roman" w:hAnsi="Arial" w:cs="Arial"/>
          <w:color w:val="000000"/>
          <w:sz w:val="20"/>
          <w:szCs w:val="20"/>
          <w:lang w:eastAsia="en-IN"/>
        </w:rPr>
        <w:br/>
        <w:t>(Chief General Manager)</w:t>
      </w:r>
    </w:p>
    <w:p w:rsidR="00236D0A" w:rsidRDefault="00236D0A" w:rsidP="00236D0A">
      <w:pPr>
        <w:spacing w:before="100" w:beforeAutospacing="1" w:after="100" w:afterAutospacing="1" w:line="240" w:lineRule="auto"/>
        <w:rPr>
          <w:rFonts w:ascii="Arial" w:eastAsia="Times New Roman" w:hAnsi="Arial" w:cs="Arial"/>
          <w:color w:val="000000"/>
          <w:sz w:val="20"/>
          <w:szCs w:val="20"/>
          <w:lang w:eastAsia="en-IN"/>
        </w:rPr>
      </w:pPr>
      <w:r w:rsidRPr="00236D0A">
        <w:rPr>
          <w:rFonts w:ascii="Arial" w:eastAsia="Times New Roman" w:hAnsi="Arial" w:cs="Arial"/>
          <w:color w:val="000000"/>
          <w:sz w:val="20"/>
          <w:szCs w:val="20"/>
          <w:lang w:eastAsia="en-IN"/>
        </w:rPr>
        <w:t>For more details, kindly refer:</w:t>
      </w:r>
    </w:p>
    <w:p w:rsidR="00236D0A" w:rsidRPr="00236D0A" w:rsidRDefault="00236D0A" w:rsidP="00236D0A">
      <w:pPr>
        <w:spacing w:before="100" w:beforeAutospacing="1" w:after="100" w:afterAutospacing="1" w:line="240" w:lineRule="auto"/>
        <w:rPr>
          <w:rFonts w:ascii="Arial" w:eastAsia="Times New Roman" w:hAnsi="Arial" w:cs="Arial"/>
          <w:color w:val="000000"/>
          <w:sz w:val="20"/>
          <w:szCs w:val="20"/>
          <w:lang w:eastAsia="en-IN"/>
        </w:rPr>
      </w:pPr>
      <w:hyperlink r:id="rId78" w:history="1">
        <w:r w:rsidRPr="00332F6B">
          <w:rPr>
            <w:rStyle w:val="Hyperlink"/>
            <w:rFonts w:ascii="Arial" w:eastAsia="Times New Roman" w:hAnsi="Arial" w:cs="Arial"/>
            <w:sz w:val="20"/>
            <w:szCs w:val="20"/>
            <w:lang w:eastAsia="en-IN"/>
          </w:rPr>
          <w:t>https://www.rbi.org.in/Scripts/NotificationUser.aspx?Id=12663&amp;Mode=0</w:t>
        </w:r>
      </w:hyperlink>
      <w:r>
        <w:rPr>
          <w:rFonts w:ascii="Arial" w:eastAsia="Times New Roman" w:hAnsi="Arial" w:cs="Arial"/>
          <w:color w:val="000000"/>
          <w:sz w:val="20"/>
          <w:szCs w:val="20"/>
          <w:lang w:eastAsia="en-IN"/>
        </w:rPr>
        <w:t xml:space="preserve"> </w:t>
      </w:r>
    </w:p>
    <w:p w:rsidR="00236D0A" w:rsidRPr="00531B24" w:rsidRDefault="00236D0A" w:rsidP="00531B24">
      <w:pPr>
        <w:spacing w:before="100" w:beforeAutospacing="1" w:after="100" w:afterAutospacing="1" w:line="240" w:lineRule="auto"/>
        <w:rPr>
          <w:rFonts w:ascii="Arial" w:eastAsia="Times New Roman" w:hAnsi="Arial" w:cs="Arial"/>
          <w:color w:val="000000"/>
          <w:sz w:val="20"/>
          <w:szCs w:val="20"/>
          <w:lang w:eastAsia="en-IN"/>
        </w:rPr>
      </w:pPr>
    </w:p>
    <w:p w:rsidR="00531B24" w:rsidRPr="000F0FF7" w:rsidRDefault="00531B24" w:rsidP="000F0FF7">
      <w:pPr>
        <w:spacing w:before="100" w:beforeAutospacing="1" w:after="100" w:afterAutospacing="1" w:line="240" w:lineRule="auto"/>
        <w:rPr>
          <w:rFonts w:ascii="Arial" w:eastAsia="Times New Roman" w:hAnsi="Arial" w:cs="Arial"/>
          <w:color w:val="000000"/>
          <w:sz w:val="20"/>
          <w:szCs w:val="20"/>
          <w:lang w:eastAsia="en-IN"/>
        </w:rPr>
      </w:pPr>
    </w:p>
    <w:p w:rsidR="000F0FF7" w:rsidRDefault="000F0FF7"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Default="00D327FB" w:rsidP="00B56C6C"/>
    <w:p w:rsidR="00D327FB" w:rsidRPr="00D327FB" w:rsidRDefault="00D327FB" w:rsidP="00D327FB">
      <w:pPr>
        <w:spacing w:before="100" w:beforeAutospacing="1" w:after="100" w:afterAutospacing="1" w:line="240" w:lineRule="auto"/>
        <w:jc w:val="both"/>
        <w:rPr>
          <w:rFonts w:ascii="Arial" w:eastAsia="Times New Roman" w:hAnsi="Arial" w:cs="Arial"/>
          <w:b/>
          <w:bCs/>
          <w:color w:val="000000"/>
          <w:sz w:val="20"/>
          <w:szCs w:val="20"/>
          <w:lang w:eastAsia="en-IN"/>
        </w:rPr>
      </w:pPr>
      <w:r w:rsidRPr="00D327FB">
        <w:rPr>
          <w:rFonts w:ascii="Arial" w:eastAsia="Times New Roman" w:hAnsi="Arial" w:cs="Arial"/>
          <w:b/>
          <w:bCs/>
          <w:color w:val="000000"/>
          <w:sz w:val="20"/>
          <w:szCs w:val="20"/>
          <w:lang w:eastAsia="en-IN"/>
        </w:rPr>
        <w:lastRenderedPageBreak/>
        <w:t>Master Circular - Credit facilities to Scheduled Castes (SCs) &amp; Scheduled Tribes (STs)</w:t>
      </w:r>
    </w:p>
    <w:p w:rsidR="00D327FB" w:rsidRPr="00D327FB" w:rsidRDefault="00D327FB" w:rsidP="00D327FB">
      <w:pPr>
        <w:spacing w:before="100" w:beforeAutospacing="1" w:after="100" w:afterAutospacing="1" w:line="240" w:lineRule="auto"/>
        <w:jc w:val="both"/>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RBI/2024-25/19</w:t>
      </w:r>
      <w:r w:rsidRPr="00D327FB">
        <w:rPr>
          <w:rFonts w:ascii="Arial" w:eastAsia="Times New Roman" w:hAnsi="Arial" w:cs="Arial"/>
          <w:color w:val="000000"/>
          <w:sz w:val="20"/>
          <w:szCs w:val="20"/>
          <w:lang w:eastAsia="en-IN"/>
        </w:rPr>
        <w:br/>
        <w:t>FIDD.CO.GSSD.BC.No.04/09.09.001/2024-25</w:t>
      </w:r>
    </w:p>
    <w:p w:rsidR="00D327FB" w:rsidRPr="00D327FB" w:rsidRDefault="00D327FB" w:rsidP="00D327FB">
      <w:pPr>
        <w:spacing w:before="100" w:beforeAutospacing="1" w:after="100" w:afterAutospacing="1" w:line="240" w:lineRule="auto"/>
        <w:jc w:val="right"/>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April 16, 2024</w:t>
      </w:r>
    </w:p>
    <w:p w:rsidR="00D327FB" w:rsidRPr="00D327FB" w:rsidRDefault="00D327FB" w:rsidP="00D327FB">
      <w:pPr>
        <w:spacing w:before="100" w:beforeAutospacing="1" w:after="100" w:afterAutospacing="1" w:line="240" w:lineRule="auto"/>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The Chairman/ Managing Director / Chief Executive Officer</w:t>
      </w:r>
      <w:r w:rsidRPr="00D327FB">
        <w:rPr>
          <w:rFonts w:ascii="Arial" w:eastAsia="Times New Roman" w:hAnsi="Arial" w:cs="Arial"/>
          <w:color w:val="000000"/>
          <w:sz w:val="20"/>
          <w:szCs w:val="20"/>
          <w:lang w:eastAsia="en-IN"/>
        </w:rPr>
        <w:br/>
        <w:t>All Scheduled Commercial Banks (including Small Finance Banks)</w:t>
      </w:r>
    </w:p>
    <w:p w:rsidR="00D327FB" w:rsidRPr="00D327FB" w:rsidRDefault="00D327FB" w:rsidP="00D327FB">
      <w:pPr>
        <w:spacing w:before="100" w:beforeAutospacing="1" w:after="100" w:afterAutospacing="1" w:line="240" w:lineRule="auto"/>
        <w:jc w:val="both"/>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Madam/ Dear Sir,</w:t>
      </w:r>
    </w:p>
    <w:p w:rsidR="00D327FB" w:rsidRPr="00D327FB" w:rsidRDefault="00D327FB" w:rsidP="00D327FB">
      <w:pPr>
        <w:spacing w:before="100" w:beforeAutospacing="1" w:after="100" w:afterAutospacing="1" w:line="240" w:lineRule="auto"/>
        <w:jc w:val="both"/>
        <w:rPr>
          <w:rFonts w:ascii="Arial" w:eastAsia="Times New Roman" w:hAnsi="Arial" w:cs="Arial"/>
          <w:b/>
          <w:bCs/>
          <w:color w:val="000000"/>
          <w:sz w:val="20"/>
          <w:szCs w:val="20"/>
          <w:lang w:eastAsia="en-IN"/>
        </w:rPr>
      </w:pPr>
      <w:r w:rsidRPr="00D327FB">
        <w:rPr>
          <w:rFonts w:ascii="Arial" w:eastAsia="Times New Roman" w:hAnsi="Arial" w:cs="Arial"/>
          <w:b/>
          <w:bCs/>
          <w:color w:val="000000"/>
          <w:sz w:val="20"/>
          <w:szCs w:val="20"/>
          <w:lang w:eastAsia="en-IN"/>
        </w:rPr>
        <w:t>Master Circular - Credit facilities to Scheduled Castes (SCs) &amp; Scheduled Tribes (STs)</w:t>
      </w:r>
    </w:p>
    <w:p w:rsidR="00D327FB" w:rsidRPr="00D327FB" w:rsidRDefault="00D327FB" w:rsidP="00D327FB">
      <w:pPr>
        <w:spacing w:before="100" w:beforeAutospacing="1" w:after="100" w:afterAutospacing="1" w:line="240" w:lineRule="auto"/>
        <w:jc w:val="both"/>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 xml:space="preserve">The Reserve Bank of India </w:t>
      </w:r>
      <w:proofErr w:type="gramStart"/>
      <w:r w:rsidRPr="00D327FB">
        <w:rPr>
          <w:rFonts w:ascii="Arial" w:eastAsia="Times New Roman" w:hAnsi="Arial" w:cs="Arial"/>
          <w:color w:val="000000"/>
          <w:sz w:val="20"/>
          <w:szCs w:val="20"/>
          <w:lang w:eastAsia="en-IN"/>
        </w:rPr>
        <w:t>has, from time to time, issued</w:t>
      </w:r>
      <w:proofErr w:type="gramEnd"/>
      <w:r w:rsidRPr="00D327FB">
        <w:rPr>
          <w:rFonts w:ascii="Arial" w:eastAsia="Times New Roman" w:hAnsi="Arial" w:cs="Arial"/>
          <w:color w:val="000000"/>
          <w:sz w:val="20"/>
          <w:szCs w:val="20"/>
          <w:lang w:eastAsia="en-IN"/>
        </w:rPr>
        <w:t xml:space="preserve"> a number of guidelines/instructions to banks on credit facilities to Scheduled Castes (SCs) &amp; Scheduled Tribes (STs). The enclosed </w:t>
      </w:r>
      <w:hyperlink r:id="rId79" w:anchor="MC" w:history="1">
        <w:r w:rsidRPr="00D327FB">
          <w:rPr>
            <w:rFonts w:ascii="Arial" w:eastAsia="Times New Roman" w:hAnsi="Arial" w:cs="Arial"/>
            <w:color w:val="0000FF"/>
            <w:sz w:val="20"/>
            <w:szCs w:val="20"/>
            <w:u w:val="single"/>
            <w:lang w:eastAsia="en-IN"/>
          </w:rPr>
          <w:t>Master Circular</w:t>
        </w:r>
      </w:hyperlink>
      <w:r w:rsidRPr="00D327FB">
        <w:rPr>
          <w:rFonts w:ascii="Arial" w:eastAsia="Times New Roman" w:hAnsi="Arial" w:cs="Arial"/>
          <w:color w:val="000000"/>
          <w:sz w:val="20"/>
          <w:szCs w:val="20"/>
          <w:lang w:eastAsia="en-IN"/>
        </w:rPr>
        <w:t xml:space="preserve"> consolidates the circulars issued by Reserve Bank on the subject </w:t>
      </w:r>
      <w:proofErr w:type="gramStart"/>
      <w:r w:rsidRPr="00D327FB">
        <w:rPr>
          <w:rFonts w:ascii="Arial" w:eastAsia="Times New Roman" w:hAnsi="Arial" w:cs="Arial"/>
          <w:color w:val="000000"/>
          <w:sz w:val="20"/>
          <w:szCs w:val="20"/>
          <w:lang w:eastAsia="en-IN"/>
        </w:rPr>
        <w:t>till</w:t>
      </w:r>
      <w:proofErr w:type="gramEnd"/>
      <w:r w:rsidRPr="00D327FB">
        <w:rPr>
          <w:rFonts w:ascii="Arial" w:eastAsia="Times New Roman" w:hAnsi="Arial" w:cs="Arial"/>
          <w:color w:val="000000"/>
          <w:sz w:val="20"/>
          <w:szCs w:val="20"/>
          <w:lang w:eastAsia="en-IN"/>
        </w:rPr>
        <w:t xml:space="preserve"> date, as listed in the </w:t>
      </w:r>
      <w:hyperlink r:id="rId80" w:anchor="APP" w:history="1">
        <w:r w:rsidRPr="00D327FB">
          <w:rPr>
            <w:rFonts w:ascii="Arial" w:eastAsia="Times New Roman" w:hAnsi="Arial" w:cs="Arial"/>
            <w:color w:val="0000FF"/>
            <w:sz w:val="20"/>
            <w:szCs w:val="20"/>
            <w:u w:val="single"/>
            <w:lang w:eastAsia="en-IN"/>
          </w:rPr>
          <w:t>Appendix</w:t>
        </w:r>
      </w:hyperlink>
      <w:r w:rsidRPr="00D327FB">
        <w:rPr>
          <w:rFonts w:ascii="Arial" w:eastAsia="Times New Roman" w:hAnsi="Arial" w:cs="Arial"/>
          <w:color w:val="000000"/>
          <w:sz w:val="20"/>
          <w:szCs w:val="20"/>
          <w:lang w:eastAsia="en-IN"/>
        </w:rPr>
        <w:t>.</w:t>
      </w:r>
    </w:p>
    <w:p w:rsidR="00D327FB" w:rsidRPr="00D327FB" w:rsidRDefault="00D327FB" w:rsidP="00D327FB">
      <w:pPr>
        <w:spacing w:before="100" w:beforeAutospacing="1" w:after="100" w:afterAutospacing="1" w:line="240" w:lineRule="auto"/>
        <w:jc w:val="both"/>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Yours faithfully,</w:t>
      </w:r>
    </w:p>
    <w:p w:rsidR="00D327FB" w:rsidRDefault="00D327FB" w:rsidP="00D327FB">
      <w:pPr>
        <w:spacing w:before="100" w:beforeAutospacing="1" w:after="100" w:afterAutospacing="1" w:line="240" w:lineRule="auto"/>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 xml:space="preserve">(R. </w:t>
      </w:r>
      <w:proofErr w:type="spellStart"/>
      <w:r w:rsidRPr="00D327FB">
        <w:rPr>
          <w:rFonts w:ascii="Arial" w:eastAsia="Times New Roman" w:hAnsi="Arial" w:cs="Arial"/>
          <w:color w:val="000000"/>
          <w:sz w:val="20"/>
          <w:szCs w:val="20"/>
          <w:lang w:eastAsia="en-IN"/>
        </w:rPr>
        <w:t>Giridharan</w:t>
      </w:r>
      <w:proofErr w:type="spellEnd"/>
      <w:proofErr w:type="gramStart"/>
      <w:r w:rsidRPr="00D327FB">
        <w:rPr>
          <w:rFonts w:ascii="Arial" w:eastAsia="Times New Roman" w:hAnsi="Arial" w:cs="Arial"/>
          <w:color w:val="000000"/>
          <w:sz w:val="20"/>
          <w:szCs w:val="20"/>
          <w:lang w:eastAsia="en-IN"/>
        </w:rPr>
        <w:t>)</w:t>
      </w:r>
      <w:proofErr w:type="gramEnd"/>
      <w:r w:rsidRPr="00D327FB">
        <w:rPr>
          <w:rFonts w:ascii="Arial" w:eastAsia="Times New Roman" w:hAnsi="Arial" w:cs="Arial"/>
          <w:color w:val="000000"/>
          <w:sz w:val="20"/>
          <w:szCs w:val="20"/>
          <w:lang w:eastAsia="en-IN"/>
        </w:rPr>
        <w:br/>
        <w:t>Chief General Manager</w:t>
      </w:r>
    </w:p>
    <w:p w:rsidR="00D327FB" w:rsidRDefault="00D327FB" w:rsidP="00D327FB">
      <w:pPr>
        <w:spacing w:before="100" w:beforeAutospacing="1" w:after="100" w:afterAutospacing="1" w:line="240" w:lineRule="auto"/>
        <w:rPr>
          <w:rFonts w:ascii="Arial" w:eastAsia="Times New Roman" w:hAnsi="Arial" w:cs="Arial"/>
          <w:color w:val="000000"/>
          <w:sz w:val="20"/>
          <w:szCs w:val="20"/>
          <w:lang w:eastAsia="en-IN"/>
        </w:rPr>
      </w:pPr>
      <w:r w:rsidRPr="00D327FB">
        <w:rPr>
          <w:rFonts w:ascii="Arial" w:eastAsia="Times New Roman" w:hAnsi="Arial" w:cs="Arial"/>
          <w:color w:val="000000"/>
          <w:sz w:val="20"/>
          <w:szCs w:val="20"/>
          <w:lang w:eastAsia="en-IN"/>
        </w:rPr>
        <w:t>For more details, kindly refer:</w:t>
      </w:r>
    </w:p>
    <w:p w:rsidR="00D327FB" w:rsidRDefault="00D327FB" w:rsidP="00D327FB">
      <w:pPr>
        <w:spacing w:before="100" w:beforeAutospacing="1" w:after="100" w:afterAutospacing="1" w:line="240" w:lineRule="auto"/>
        <w:rPr>
          <w:rFonts w:ascii="Arial" w:eastAsia="Times New Roman" w:hAnsi="Arial" w:cs="Arial"/>
          <w:color w:val="000000"/>
          <w:sz w:val="20"/>
          <w:szCs w:val="20"/>
          <w:lang w:eastAsia="en-IN"/>
        </w:rPr>
      </w:pPr>
      <w:hyperlink r:id="rId81" w:history="1">
        <w:r w:rsidRPr="00332F6B">
          <w:rPr>
            <w:rStyle w:val="Hyperlink"/>
            <w:rFonts w:ascii="Arial" w:eastAsia="Times New Roman" w:hAnsi="Arial" w:cs="Arial"/>
            <w:sz w:val="20"/>
            <w:szCs w:val="20"/>
            <w:lang w:eastAsia="en-IN"/>
          </w:rPr>
          <w:t>https://www.rbi.org.in/Scripts/NotificationUser.aspx?Id=12664&amp;Mode=0</w:t>
        </w:r>
      </w:hyperlink>
      <w:r>
        <w:rPr>
          <w:rFonts w:ascii="Arial" w:eastAsia="Times New Roman" w:hAnsi="Arial" w:cs="Arial"/>
          <w:color w:val="000000"/>
          <w:sz w:val="20"/>
          <w:szCs w:val="20"/>
          <w:lang w:eastAsia="en-IN"/>
        </w:rPr>
        <w:t xml:space="preserve"> </w:t>
      </w: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1416E3" w:rsidRPr="001416E3" w:rsidRDefault="001416E3" w:rsidP="001416E3">
      <w:pPr>
        <w:spacing w:before="100" w:beforeAutospacing="1" w:after="100" w:afterAutospacing="1" w:line="240" w:lineRule="auto"/>
        <w:jc w:val="both"/>
        <w:rPr>
          <w:rFonts w:ascii="Arial" w:eastAsia="Times New Roman" w:hAnsi="Arial" w:cs="Arial"/>
          <w:b/>
          <w:bCs/>
          <w:color w:val="000000"/>
          <w:sz w:val="20"/>
          <w:szCs w:val="20"/>
          <w:lang w:eastAsia="en-IN"/>
        </w:rPr>
      </w:pPr>
      <w:r w:rsidRPr="001416E3">
        <w:rPr>
          <w:rFonts w:ascii="Arial" w:eastAsia="Times New Roman" w:hAnsi="Arial" w:cs="Arial"/>
          <w:b/>
          <w:bCs/>
          <w:color w:val="000000"/>
          <w:sz w:val="20"/>
          <w:szCs w:val="20"/>
          <w:lang w:eastAsia="en-IN"/>
        </w:rPr>
        <w:lastRenderedPageBreak/>
        <w:t>Dealing in Rupee Interest Rate Derivative products - Small Finance Banks</w:t>
      </w:r>
    </w:p>
    <w:p w:rsidR="001416E3" w:rsidRPr="001416E3" w:rsidRDefault="001416E3" w:rsidP="001416E3">
      <w:pPr>
        <w:spacing w:before="100" w:beforeAutospacing="1" w:after="100" w:afterAutospacing="1" w:line="240" w:lineRule="auto"/>
        <w:jc w:val="both"/>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RBI/2024-25/23</w:t>
      </w:r>
      <w:r w:rsidRPr="001416E3">
        <w:rPr>
          <w:rFonts w:ascii="Arial" w:eastAsia="Times New Roman" w:hAnsi="Arial" w:cs="Arial"/>
          <w:color w:val="000000"/>
          <w:sz w:val="20"/>
          <w:szCs w:val="20"/>
          <w:lang w:eastAsia="en-IN"/>
        </w:rPr>
        <w:br/>
        <w:t>DOR.MRG.REC.15/00.00.018/2024-25</w:t>
      </w:r>
    </w:p>
    <w:p w:rsidR="001416E3" w:rsidRPr="001416E3" w:rsidRDefault="001416E3" w:rsidP="001416E3">
      <w:pPr>
        <w:spacing w:before="100" w:beforeAutospacing="1" w:after="100" w:afterAutospacing="1" w:line="240" w:lineRule="auto"/>
        <w:jc w:val="right"/>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April 23, 2024</w:t>
      </w:r>
    </w:p>
    <w:p w:rsidR="001416E3" w:rsidRPr="001416E3" w:rsidRDefault="001416E3" w:rsidP="001416E3">
      <w:pPr>
        <w:spacing w:before="100" w:beforeAutospacing="1" w:after="100" w:afterAutospacing="1" w:line="240" w:lineRule="auto"/>
        <w:jc w:val="both"/>
        <w:rPr>
          <w:rFonts w:ascii="Arial" w:eastAsia="Times New Roman" w:hAnsi="Arial" w:cs="Arial"/>
          <w:b/>
          <w:bCs/>
          <w:color w:val="000000"/>
          <w:sz w:val="20"/>
          <w:szCs w:val="20"/>
          <w:lang w:eastAsia="en-IN"/>
        </w:rPr>
      </w:pPr>
      <w:r w:rsidRPr="001416E3">
        <w:rPr>
          <w:rFonts w:ascii="Arial" w:eastAsia="Times New Roman" w:hAnsi="Arial" w:cs="Arial"/>
          <w:b/>
          <w:bCs/>
          <w:color w:val="000000"/>
          <w:sz w:val="20"/>
          <w:szCs w:val="20"/>
          <w:lang w:eastAsia="en-IN"/>
        </w:rPr>
        <w:t>Dealing in Rupee Interest Rate Derivative products - Small Finance Banks</w:t>
      </w:r>
    </w:p>
    <w:p w:rsidR="001416E3" w:rsidRPr="001416E3" w:rsidRDefault="001416E3" w:rsidP="001416E3">
      <w:pPr>
        <w:spacing w:before="100" w:beforeAutospacing="1" w:after="100" w:afterAutospacing="1" w:line="240" w:lineRule="auto"/>
        <w:jc w:val="both"/>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Please refer to paragraph 4 of </w:t>
      </w:r>
      <w:hyperlink r:id="rId82" w:tgtFrame="_blank" w:history="1">
        <w:r w:rsidRPr="001416E3">
          <w:rPr>
            <w:rFonts w:ascii="Arial" w:eastAsia="Times New Roman" w:hAnsi="Arial" w:cs="Arial"/>
            <w:color w:val="0000FF"/>
            <w:sz w:val="20"/>
            <w:szCs w:val="20"/>
            <w:u w:val="single"/>
            <w:lang w:eastAsia="en-IN"/>
          </w:rPr>
          <w:t>Statement on Developmental and Regulatory Policies</w:t>
        </w:r>
      </w:hyperlink>
      <w:r w:rsidRPr="001416E3">
        <w:rPr>
          <w:rFonts w:ascii="Arial" w:eastAsia="Times New Roman" w:hAnsi="Arial" w:cs="Arial"/>
          <w:color w:val="000000"/>
          <w:sz w:val="20"/>
          <w:szCs w:val="20"/>
          <w:lang w:eastAsia="en-IN"/>
        </w:rPr>
        <w:t> issued as a part of the </w:t>
      </w:r>
      <w:hyperlink r:id="rId83" w:tgtFrame="_blank" w:history="1">
        <w:r w:rsidRPr="001416E3">
          <w:rPr>
            <w:rFonts w:ascii="Arial" w:eastAsia="Times New Roman" w:hAnsi="Arial" w:cs="Arial"/>
            <w:color w:val="0000FF"/>
            <w:sz w:val="20"/>
            <w:szCs w:val="20"/>
            <w:u w:val="single"/>
            <w:lang w:eastAsia="en-IN"/>
          </w:rPr>
          <w:t>Bi-monthly Monetary Policy Statement for 2024-25 dated April 05, 2024</w:t>
        </w:r>
      </w:hyperlink>
      <w:r w:rsidRPr="001416E3">
        <w:rPr>
          <w:rFonts w:ascii="Arial" w:eastAsia="Times New Roman" w:hAnsi="Arial" w:cs="Arial"/>
          <w:color w:val="000000"/>
          <w:sz w:val="20"/>
          <w:szCs w:val="20"/>
          <w:lang w:eastAsia="en-IN"/>
        </w:rPr>
        <w:t> read with Paragraph 1.10 of the </w:t>
      </w:r>
      <w:hyperlink r:id="rId84" w:tgtFrame="_blank" w:history="1">
        <w:r w:rsidRPr="001416E3">
          <w:rPr>
            <w:rFonts w:ascii="Arial" w:eastAsia="Times New Roman" w:hAnsi="Arial" w:cs="Arial"/>
            <w:color w:val="0000FF"/>
            <w:sz w:val="20"/>
            <w:szCs w:val="20"/>
            <w:u w:val="single"/>
            <w:lang w:eastAsia="en-IN"/>
          </w:rPr>
          <w:t>'Operating Guidelines for Small Finance Banks' dated October 6, 2016</w:t>
        </w:r>
      </w:hyperlink>
      <w:r w:rsidRPr="001416E3">
        <w:rPr>
          <w:rFonts w:ascii="Arial" w:eastAsia="Times New Roman" w:hAnsi="Arial" w:cs="Arial"/>
          <w:color w:val="000000"/>
          <w:sz w:val="20"/>
          <w:szCs w:val="20"/>
          <w:lang w:eastAsia="en-IN"/>
        </w:rPr>
        <w:t>.</w:t>
      </w:r>
    </w:p>
    <w:p w:rsidR="001416E3" w:rsidRPr="001416E3" w:rsidRDefault="001416E3" w:rsidP="001416E3">
      <w:pPr>
        <w:spacing w:before="100" w:beforeAutospacing="1" w:after="100" w:afterAutospacing="1" w:line="240" w:lineRule="auto"/>
        <w:jc w:val="both"/>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 xml:space="preserve">2. Extant guidelines permit Small Finance Banks (SFBs) to use only Interest Rate Futures (IRFs) </w:t>
      </w:r>
      <w:proofErr w:type="gramStart"/>
      <w:r w:rsidRPr="001416E3">
        <w:rPr>
          <w:rFonts w:ascii="Arial" w:eastAsia="Times New Roman" w:hAnsi="Arial" w:cs="Arial"/>
          <w:color w:val="000000"/>
          <w:sz w:val="20"/>
          <w:szCs w:val="20"/>
          <w:lang w:eastAsia="en-IN"/>
        </w:rPr>
        <w:t>for the purpose of</w:t>
      </w:r>
      <w:proofErr w:type="gramEnd"/>
      <w:r w:rsidRPr="001416E3">
        <w:rPr>
          <w:rFonts w:ascii="Arial" w:eastAsia="Times New Roman" w:hAnsi="Arial" w:cs="Arial"/>
          <w:color w:val="000000"/>
          <w:sz w:val="20"/>
          <w:szCs w:val="20"/>
          <w:lang w:eastAsia="en-IN"/>
        </w:rPr>
        <w:t xml:space="preserve"> proprietary hedging. </w:t>
      </w:r>
      <w:proofErr w:type="gramStart"/>
      <w:r w:rsidRPr="001416E3">
        <w:rPr>
          <w:rFonts w:ascii="Arial" w:eastAsia="Times New Roman" w:hAnsi="Arial" w:cs="Arial"/>
          <w:color w:val="000000"/>
          <w:sz w:val="20"/>
          <w:szCs w:val="20"/>
          <w:lang w:eastAsia="en-IN"/>
        </w:rPr>
        <w:t>In order to expand the avenues available to the SFBs for hedging interest rate risk in their balance sheet and commercial operations more effectively as well as with a view to provide them with greater flexibility, it has now been decided to allow them to deal in permissible rupee interest rate derivative products for hedging interest rate risk in terms of the </w:t>
      </w:r>
      <w:hyperlink r:id="rId85" w:tgtFrame="_blank" w:history="1">
        <w:r w:rsidRPr="001416E3">
          <w:rPr>
            <w:rFonts w:ascii="Arial" w:eastAsia="Times New Roman" w:hAnsi="Arial" w:cs="Arial"/>
            <w:color w:val="0000FF"/>
            <w:sz w:val="20"/>
            <w:szCs w:val="20"/>
            <w:u w:val="single"/>
            <w:lang w:eastAsia="en-IN"/>
          </w:rPr>
          <w:t>Rupee Interest Rate Derivatives (Reserve Bank) Directions, 2019 dated June 26, 2019</w:t>
        </w:r>
      </w:hyperlink>
      <w:r w:rsidRPr="001416E3">
        <w:rPr>
          <w:rFonts w:ascii="Arial" w:eastAsia="Times New Roman" w:hAnsi="Arial" w:cs="Arial"/>
          <w:color w:val="000000"/>
          <w:sz w:val="20"/>
          <w:szCs w:val="20"/>
          <w:lang w:eastAsia="en-IN"/>
        </w:rPr>
        <w:t>, as amended from time to time.</w:t>
      </w:r>
      <w:proofErr w:type="gramEnd"/>
    </w:p>
    <w:p w:rsidR="001416E3" w:rsidRPr="001416E3" w:rsidRDefault="001416E3" w:rsidP="001416E3">
      <w:pPr>
        <w:spacing w:before="100" w:beforeAutospacing="1" w:after="100" w:afterAutospacing="1" w:line="240" w:lineRule="auto"/>
        <w:jc w:val="both"/>
        <w:rPr>
          <w:rFonts w:ascii="Arial" w:eastAsia="Times New Roman" w:hAnsi="Arial" w:cs="Arial"/>
          <w:b/>
          <w:bCs/>
          <w:color w:val="000000"/>
          <w:sz w:val="20"/>
          <w:szCs w:val="20"/>
          <w:lang w:eastAsia="en-IN"/>
        </w:rPr>
      </w:pPr>
      <w:r w:rsidRPr="001416E3">
        <w:rPr>
          <w:rFonts w:ascii="Arial" w:eastAsia="Times New Roman" w:hAnsi="Arial" w:cs="Arial"/>
          <w:b/>
          <w:bCs/>
          <w:color w:val="000000"/>
          <w:sz w:val="20"/>
          <w:szCs w:val="20"/>
          <w:lang w:eastAsia="en-IN"/>
        </w:rPr>
        <w:t>Applicability</w:t>
      </w:r>
    </w:p>
    <w:p w:rsidR="001416E3" w:rsidRPr="001416E3" w:rsidRDefault="001416E3" w:rsidP="001416E3">
      <w:pPr>
        <w:spacing w:before="100" w:beforeAutospacing="1" w:after="100" w:afterAutospacing="1" w:line="240" w:lineRule="auto"/>
        <w:jc w:val="both"/>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3. This circular is applicable to all Small Finance Banks.</w:t>
      </w:r>
    </w:p>
    <w:p w:rsidR="001416E3" w:rsidRPr="001416E3" w:rsidRDefault="001416E3" w:rsidP="001416E3">
      <w:pPr>
        <w:spacing w:before="100" w:beforeAutospacing="1" w:after="100" w:afterAutospacing="1" w:line="240" w:lineRule="auto"/>
        <w:jc w:val="both"/>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4. These instructions shall come into force with immediate effect.</w:t>
      </w:r>
    </w:p>
    <w:p w:rsidR="001416E3" w:rsidRPr="001416E3" w:rsidRDefault="001416E3" w:rsidP="001416E3">
      <w:pPr>
        <w:spacing w:before="100" w:beforeAutospacing="1" w:after="100" w:afterAutospacing="1" w:line="240" w:lineRule="auto"/>
        <w:jc w:val="both"/>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Yours faithfully,</w:t>
      </w:r>
    </w:p>
    <w:p w:rsidR="001416E3" w:rsidRDefault="001416E3" w:rsidP="001416E3">
      <w:pPr>
        <w:spacing w:before="100" w:beforeAutospacing="1" w:after="100" w:afterAutospacing="1" w:line="240" w:lineRule="auto"/>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 xml:space="preserve">(Usha </w:t>
      </w:r>
      <w:proofErr w:type="spellStart"/>
      <w:r w:rsidRPr="001416E3">
        <w:rPr>
          <w:rFonts w:ascii="Arial" w:eastAsia="Times New Roman" w:hAnsi="Arial" w:cs="Arial"/>
          <w:color w:val="000000"/>
          <w:sz w:val="20"/>
          <w:szCs w:val="20"/>
          <w:lang w:eastAsia="en-IN"/>
        </w:rPr>
        <w:t>Janakiraman</w:t>
      </w:r>
      <w:proofErr w:type="spellEnd"/>
      <w:r w:rsidRPr="001416E3">
        <w:rPr>
          <w:rFonts w:ascii="Arial" w:eastAsia="Times New Roman" w:hAnsi="Arial" w:cs="Arial"/>
          <w:color w:val="000000"/>
          <w:sz w:val="20"/>
          <w:szCs w:val="20"/>
          <w:lang w:eastAsia="en-IN"/>
        </w:rPr>
        <w:t>)</w:t>
      </w:r>
      <w:r w:rsidRPr="001416E3">
        <w:rPr>
          <w:rFonts w:ascii="Arial" w:eastAsia="Times New Roman" w:hAnsi="Arial" w:cs="Arial"/>
          <w:color w:val="000000"/>
          <w:sz w:val="20"/>
          <w:szCs w:val="20"/>
          <w:lang w:eastAsia="en-IN"/>
        </w:rPr>
        <w:br/>
        <w:t>Chief General Manager</w:t>
      </w:r>
    </w:p>
    <w:p w:rsidR="001416E3" w:rsidRDefault="001416E3" w:rsidP="001416E3">
      <w:pPr>
        <w:spacing w:before="100" w:beforeAutospacing="1" w:after="100" w:afterAutospacing="1" w:line="240" w:lineRule="auto"/>
        <w:rPr>
          <w:rFonts w:ascii="Arial" w:eastAsia="Times New Roman" w:hAnsi="Arial" w:cs="Arial"/>
          <w:color w:val="000000"/>
          <w:sz w:val="20"/>
          <w:szCs w:val="20"/>
          <w:lang w:eastAsia="en-IN"/>
        </w:rPr>
      </w:pPr>
      <w:r w:rsidRPr="001416E3">
        <w:rPr>
          <w:rFonts w:ascii="Arial" w:eastAsia="Times New Roman" w:hAnsi="Arial" w:cs="Arial"/>
          <w:color w:val="000000"/>
          <w:sz w:val="20"/>
          <w:szCs w:val="20"/>
          <w:lang w:eastAsia="en-IN"/>
        </w:rPr>
        <w:t>For more details, kindly refer:</w:t>
      </w:r>
    </w:p>
    <w:p w:rsidR="001416E3" w:rsidRDefault="001416E3" w:rsidP="001416E3">
      <w:pPr>
        <w:spacing w:before="100" w:beforeAutospacing="1" w:after="100" w:afterAutospacing="1" w:line="240" w:lineRule="auto"/>
        <w:rPr>
          <w:rFonts w:ascii="Arial" w:eastAsia="Times New Roman" w:hAnsi="Arial" w:cs="Arial"/>
          <w:color w:val="000000"/>
          <w:sz w:val="20"/>
          <w:szCs w:val="20"/>
          <w:lang w:eastAsia="en-IN"/>
        </w:rPr>
      </w:pPr>
      <w:hyperlink r:id="rId86" w:history="1">
        <w:r w:rsidRPr="00332F6B">
          <w:rPr>
            <w:rStyle w:val="Hyperlink"/>
            <w:rFonts w:ascii="Arial" w:eastAsia="Times New Roman" w:hAnsi="Arial" w:cs="Arial"/>
            <w:sz w:val="20"/>
            <w:szCs w:val="20"/>
            <w:lang w:eastAsia="en-IN"/>
          </w:rPr>
          <w:t>https://www.rbi.org.in/Scripts/NotificationUser.aspx?Id=12668&amp;Mode=0</w:t>
        </w:r>
      </w:hyperlink>
      <w:r>
        <w:rPr>
          <w:rFonts w:ascii="Arial" w:eastAsia="Times New Roman" w:hAnsi="Arial" w:cs="Arial"/>
          <w:color w:val="000000"/>
          <w:sz w:val="20"/>
          <w:szCs w:val="20"/>
          <w:lang w:eastAsia="en-IN"/>
        </w:rPr>
        <w:t xml:space="preserve"> </w:t>
      </w: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4F39BA" w:rsidRDefault="004F39BA" w:rsidP="004F39BA">
      <w:pPr>
        <w:pStyle w:val="head"/>
        <w:jc w:val="both"/>
        <w:rPr>
          <w:rFonts w:ascii="Arial" w:hAnsi="Arial" w:cs="Arial"/>
          <w:b/>
          <w:bCs/>
          <w:color w:val="000000"/>
          <w:sz w:val="20"/>
          <w:szCs w:val="20"/>
        </w:rPr>
      </w:pPr>
      <w:r>
        <w:rPr>
          <w:rFonts w:ascii="Arial" w:hAnsi="Arial" w:cs="Arial"/>
          <w:b/>
          <w:bCs/>
          <w:color w:val="000000"/>
          <w:sz w:val="20"/>
          <w:szCs w:val="20"/>
        </w:rPr>
        <w:lastRenderedPageBreak/>
        <w:t>Voluntary transition of Small Finance Banks to Universal Banks</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RBI/2024-25/28</w:t>
      </w:r>
      <w:r>
        <w:rPr>
          <w:rFonts w:ascii="Arial" w:hAnsi="Arial" w:cs="Arial"/>
          <w:color w:val="000000"/>
          <w:sz w:val="20"/>
          <w:szCs w:val="20"/>
        </w:rPr>
        <w:br/>
        <w:t>DOR.LIC.REC.20/16.13.218/2024-25</w:t>
      </w:r>
    </w:p>
    <w:p w:rsidR="004F39BA" w:rsidRDefault="004F39BA" w:rsidP="004F39BA">
      <w:pPr>
        <w:pStyle w:val="NormalWeb"/>
        <w:jc w:val="right"/>
        <w:rPr>
          <w:rFonts w:ascii="Arial" w:hAnsi="Arial" w:cs="Arial"/>
          <w:color w:val="000000"/>
          <w:sz w:val="20"/>
          <w:szCs w:val="20"/>
        </w:rPr>
      </w:pPr>
      <w:r>
        <w:rPr>
          <w:rFonts w:ascii="Arial" w:hAnsi="Arial" w:cs="Arial"/>
          <w:color w:val="000000"/>
          <w:sz w:val="20"/>
          <w:szCs w:val="20"/>
        </w:rPr>
        <w:t>April 26, 2024</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All Small Finance Banks</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Madam/ Dear Sir,</w:t>
      </w:r>
    </w:p>
    <w:p w:rsidR="004F39BA" w:rsidRDefault="004F39BA" w:rsidP="004F39BA">
      <w:pPr>
        <w:pStyle w:val="head"/>
        <w:jc w:val="both"/>
        <w:rPr>
          <w:rFonts w:ascii="Arial" w:hAnsi="Arial" w:cs="Arial"/>
          <w:b/>
          <w:bCs/>
          <w:color w:val="000000"/>
          <w:sz w:val="20"/>
          <w:szCs w:val="20"/>
        </w:rPr>
      </w:pPr>
      <w:r>
        <w:rPr>
          <w:rFonts w:ascii="Arial" w:hAnsi="Arial" w:cs="Arial"/>
          <w:b/>
          <w:bCs/>
          <w:color w:val="000000"/>
          <w:sz w:val="20"/>
          <w:szCs w:val="20"/>
        </w:rPr>
        <w:t>Voluntary transition of Small Finance Banks to Universal Banks</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Please refer to Paragraph 14 of the </w:t>
      </w:r>
      <w:hyperlink r:id="rId87" w:tgtFrame="_blank" w:history="1">
        <w:r>
          <w:rPr>
            <w:rStyle w:val="Hyperlink"/>
            <w:rFonts w:ascii="Arial" w:hAnsi="Arial" w:cs="Arial"/>
            <w:sz w:val="20"/>
            <w:szCs w:val="20"/>
          </w:rPr>
          <w:t>“Guidelines for ‘on-tap’ Licensing of Small Finance Banks in Private Sector” dated December 5, 2019</w:t>
        </w:r>
      </w:hyperlink>
      <w:r>
        <w:rPr>
          <w:rFonts w:ascii="Arial" w:hAnsi="Arial" w:cs="Arial"/>
          <w:color w:val="000000"/>
          <w:sz w:val="20"/>
          <w:szCs w:val="20"/>
        </w:rPr>
        <w:t xml:space="preserve">, which provides a transition path for Small Finance Banks (SFBs) to convert into Universal Banks. Such conversion shall be subject to the SFB’s fulfilling minimum paid-up capital/ net worth requirement as applicable to Universal Banks, satisfactory </w:t>
      </w:r>
      <w:proofErr w:type="gramStart"/>
      <w:r>
        <w:rPr>
          <w:rFonts w:ascii="Arial" w:hAnsi="Arial" w:cs="Arial"/>
          <w:color w:val="000000"/>
          <w:sz w:val="20"/>
          <w:szCs w:val="20"/>
        </w:rPr>
        <w:t>track record</w:t>
      </w:r>
      <w:proofErr w:type="gramEnd"/>
      <w:r>
        <w:rPr>
          <w:rFonts w:ascii="Arial" w:hAnsi="Arial" w:cs="Arial"/>
          <w:color w:val="000000"/>
          <w:sz w:val="20"/>
          <w:szCs w:val="20"/>
        </w:rPr>
        <w:t xml:space="preserve"> of performance as an SFB for a minimum period of five years and RBI’s due diligence exercise.</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22 (1) of the Banking Regulation Act, 1949.</w:t>
      </w:r>
    </w:p>
    <w:p w:rsidR="004F39BA" w:rsidRDefault="004F39BA" w:rsidP="004F39BA">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4F39BA" w:rsidRDefault="004F39BA" w:rsidP="004F39BA">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4. This circular is applicable to all Small Finance Banks.</w:t>
      </w:r>
    </w:p>
    <w:p w:rsidR="004F39BA" w:rsidRDefault="004F39BA" w:rsidP="004F39BA">
      <w:pPr>
        <w:pStyle w:val="head"/>
        <w:jc w:val="both"/>
        <w:rPr>
          <w:rFonts w:ascii="Arial" w:hAnsi="Arial" w:cs="Arial"/>
          <w:b/>
          <w:bCs/>
          <w:color w:val="000000"/>
          <w:sz w:val="20"/>
          <w:szCs w:val="20"/>
        </w:rPr>
      </w:pPr>
      <w:r>
        <w:rPr>
          <w:rFonts w:ascii="Arial" w:hAnsi="Arial" w:cs="Arial"/>
          <w:b/>
          <w:bCs/>
          <w:color w:val="000000"/>
          <w:sz w:val="20"/>
          <w:szCs w:val="20"/>
        </w:rPr>
        <w:t>Provisions</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5. With the objective of bringing better clarity, the eligibility criteria for an SFB to transition into a Universal bank will now be as follows:</w:t>
      </w:r>
    </w:p>
    <w:p w:rsidR="004F39BA" w:rsidRDefault="004F39BA" w:rsidP="004F39B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scheduled status with a satisfactory track record of performance for a minimum period of five years;</w:t>
      </w:r>
    </w:p>
    <w:p w:rsidR="004F39BA" w:rsidRDefault="004F39BA" w:rsidP="004F39B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shares of the bank should have been listed on a recognised stock exchange;</w:t>
      </w:r>
    </w:p>
    <w:p w:rsidR="004F39BA" w:rsidRDefault="004F39BA" w:rsidP="004F39B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having a minimum net worth of ₹1,000 crore as at the end of the previous quarter (audited);</w:t>
      </w:r>
    </w:p>
    <w:p w:rsidR="004F39BA" w:rsidRDefault="004F39BA" w:rsidP="004F39B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meeting the prescribed CRAR requirements for SFBs;</w:t>
      </w:r>
    </w:p>
    <w:p w:rsidR="004F39BA" w:rsidRDefault="004F39BA" w:rsidP="004F39B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having a net profit in the last two financial years; and</w:t>
      </w:r>
    </w:p>
    <w:p w:rsidR="004F39BA" w:rsidRDefault="004F39BA" w:rsidP="004F39BA">
      <w:pPr>
        <w:pStyle w:val="NormalWeb"/>
        <w:numPr>
          <w:ilvl w:val="0"/>
          <w:numId w:val="4"/>
        </w:numPr>
        <w:ind w:left="0"/>
        <w:jc w:val="both"/>
        <w:rPr>
          <w:rFonts w:ascii="Arial" w:hAnsi="Arial" w:cs="Arial"/>
          <w:color w:val="000000"/>
          <w:sz w:val="20"/>
          <w:szCs w:val="20"/>
        </w:rPr>
      </w:pPr>
      <w:proofErr w:type="gramStart"/>
      <w:r>
        <w:rPr>
          <w:rFonts w:ascii="Arial" w:hAnsi="Arial" w:cs="Arial"/>
          <w:color w:val="000000"/>
          <w:sz w:val="20"/>
          <w:szCs w:val="20"/>
        </w:rPr>
        <w:t>having</w:t>
      </w:r>
      <w:proofErr w:type="gramEnd"/>
      <w:r>
        <w:rPr>
          <w:rFonts w:ascii="Arial" w:hAnsi="Arial" w:cs="Arial"/>
          <w:color w:val="000000"/>
          <w:sz w:val="20"/>
          <w:szCs w:val="20"/>
        </w:rPr>
        <w:t xml:space="preserve"> GNPA and NNPA of less than or equal to 3 percent and 1 percent respectively in the last two financial years.</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6. The following conditions shall be applicable with regard to shareholding pattern:</w:t>
      </w:r>
    </w:p>
    <w:p w:rsidR="004F39BA" w:rsidRDefault="004F39BA" w:rsidP="004F39BA">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There is no mandatory requirement for an eligible SFB to have an identified promoter. However, the existing promoters of the eligible SFB, if any, shall continue as the promoters on transition to Universal Bank.</w:t>
      </w:r>
    </w:p>
    <w:p w:rsidR="004F39BA" w:rsidRDefault="004F39BA" w:rsidP="004F39BA">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Addition of new promoters or change in promoters </w:t>
      </w:r>
      <w:proofErr w:type="gramStart"/>
      <w:r>
        <w:rPr>
          <w:rFonts w:ascii="Arial" w:hAnsi="Arial" w:cs="Arial"/>
          <w:color w:val="000000"/>
          <w:sz w:val="20"/>
          <w:szCs w:val="20"/>
        </w:rPr>
        <w:t>shall not be permitted</w:t>
      </w:r>
      <w:proofErr w:type="gramEnd"/>
      <w:r>
        <w:rPr>
          <w:rFonts w:ascii="Arial" w:hAnsi="Arial" w:cs="Arial"/>
          <w:color w:val="000000"/>
          <w:sz w:val="20"/>
          <w:szCs w:val="20"/>
        </w:rPr>
        <w:t xml:space="preserve"> for an eligible SFB while transitioning to Universal Bank.</w:t>
      </w:r>
    </w:p>
    <w:p w:rsidR="004F39BA" w:rsidRDefault="004F39BA" w:rsidP="004F39BA">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There shall be no new mandatory lock-in requirement of minimum shareholding for existing promoters in the transitioned Universal Bank.</w:t>
      </w:r>
    </w:p>
    <w:p w:rsidR="004F39BA" w:rsidRDefault="004F39BA" w:rsidP="004F39BA">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There shall be no change to the </w:t>
      </w:r>
      <w:proofErr w:type="gramStart"/>
      <w:r>
        <w:rPr>
          <w:rFonts w:ascii="Arial" w:hAnsi="Arial" w:cs="Arial"/>
          <w:color w:val="000000"/>
          <w:sz w:val="20"/>
          <w:szCs w:val="20"/>
        </w:rPr>
        <w:t>promoter shareholding dilution plan</w:t>
      </w:r>
      <w:proofErr w:type="gramEnd"/>
      <w:r>
        <w:rPr>
          <w:rFonts w:ascii="Arial" w:hAnsi="Arial" w:cs="Arial"/>
          <w:color w:val="000000"/>
          <w:sz w:val="20"/>
          <w:szCs w:val="20"/>
        </w:rPr>
        <w:t xml:space="preserve"> already approved by the Reserve Bank.</w:t>
      </w:r>
    </w:p>
    <w:p w:rsidR="004F39BA" w:rsidRDefault="004F39BA" w:rsidP="004F39BA">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eligible SFBs having diversified loan portfolio will be preferred.</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lastRenderedPageBreak/>
        <w:t xml:space="preserve">7. The eligible SFB shall be required to furnish a detailed rationale for such transition. </w:t>
      </w:r>
      <w:proofErr w:type="gramStart"/>
      <w:r>
        <w:rPr>
          <w:rFonts w:ascii="Arial" w:hAnsi="Arial" w:cs="Arial"/>
          <w:color w:val="000000"/>
          <w:sz w:val="20"/>
          <w:szCs w:val="20"/>
        </w:rPr>
        <w:t>The application for transition from SFB to Universal Bank shall be assessed in accordance with the </w:t>
      </w:r>
      <w:hyperlink r:id="rId88" w:tgtFrame="_blank" w:history="1">
        <w:r>
          <w:rPr>
            <w:rStyle w:val="Hyperlink"/>
            <w:rFonts w:ascii="Arial" w:hAnsi="Arial" w:cs="Arial"/>
            <w:sz w:val="20"/>
            <w:szCs w:val="20"/>
          </w:rPr>
          <w:t>Guidelines for ‘on tap’ Licensing of Universal Banks in the Private Sector dated August 1, 2016</w:t>
        </w:r>
      </w:hyperlink>
      <w:r>
        <w:rPr>
          <w:rFonts w:ascii="Arial" w:hAnsi="Arial" w:cs="Arial"/>
          <w:color w:val="000000"/>
          <w:sz w:val="20"/>
          <w:szCs w:val="20"/>
        </w:rPr>
        <w:t>, as applicable, and </w:t>
      </w:r>
      <w:hyperlink r:id="rId89" w:tgtFrame="_blank" w:history="1">
        <w:r>
          <w:rPr>
            <w:rStyle w:val="Hyperlink"/>
            <w:rFonts w:ascii="Arial" w:hAnsi="Arial" w:cs="Arial"/>
            <w:sz w:val="20"/>
            <w:szCs w:val="20"/>
          </w:rPr>
          <w:t>Reserve Bank of India (Acquisition and Holding of Shares or Voting Rights in Banking Companies) Directions, 2023 dated January 16, 2023</w:t>
        </w:r>
      </w:hyperlink>
      <w:r>
        <w:rPr>
          <w:rFonts w:ascii="Arial" w:hAnsi="Arial" w:cs="Arial"/>
          <w:color w:val="000000"/>
          <w:sz w:val="20"/>
          <w:szCs w:val="20"/>
        </w:rPr>
        <w:t>, as amended from time to time.</w:t>
      </w:r>
      <w:proofErr w:type="gramEnd"/>
      <w:r>
        <w:rPr>
          <w:rFonts w:ascii="Arial" w:hAnsi="Arial" w:cs="Arial"/>
          <w:color w:val="000000"/>
          <w:sz w:val="20"/>
          <w:szCs w:val="20"/>
        </w:rPr>
        <w:t xml:space="preserve"> Further, on transition the bank </w:t>
      </w:r>
      <w:proofErr w:type="gramStart"/>
      <w:r>
        <w:rPr>
          <w:rFonts w:ascii="Arial" w:hAnsi="Arial" w:cs="Arial"/>
          <w:color w:val="000000"/>
          <w:sz w:val="20"/>
          <w:szCs w:val="20"/>
        </w:rPr>
        <w:t>will be subjected</w:t>
      </w:r>
      <w:proofErr w:type="gramEnd"/>
      <w:r>
        <w:rPr>
          <w:rFonts w:ascii="Arial" w:hAnsi="Arial" w:cs="Arial"/>
          <w:color w:val="000000"/>
          <w:sz w:val="20"/>
          <w:szCs w:val="20"/>
        </w:rPr>
        <w:t xml:space="preserve"> to all the norms including NOFHC structure (as applicable) as per the said Guidelines.</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 xml:space="preserve">8. The eligible SFB may submit its application for transition to Universal Bank, in the prescribed form (Form III) in terms of Rule 11 of the Banking Regulation (Companies) Rules, 1949, along with other requisite documents, to Department of Regulation, Reserve Bank of India, Central Office, 12th Floor, Central Office Building, </w:t>
      </w:r>
      <w:proofErr w:type="spellStart"/>
      <w:r>
        <w:rPr>
          <w:rFonts w:ascii="Arial" w:hAnsi="Arial" w:cs="Arial"/>
          <w:color w:val="000000"/>
          <w:sz w:val="20"/>
          <w:szCs w:val="20"/>
        </w:rPr>
        <w:t>Shahid</w:t>
      </w:r>
      <w:proofErr w:type="spellEnd"/>
      <w:r>
        <w:rPr>
          <w:rFonts w:ascii="Arial" w:hAnsi="Arial" w:cs="Arial"/>
          <w:color w:val="000000"/>
          <w:sz w:val="20"/>
          <w:szCs w:val="20"/>
        </w:rPr>
        <w:t xml:space="preserve"> </w:t>
      </w:r>
      <w:proofErr w:type="spellStart"/>
      <w:r>
        <w:rPr>
          <w:rFonts w:ascii="Arial" w:hAnsi="Arial" w:cs="Arial"/>
          <w:color w:val="000000"/>
          <w:sz w:val="20"/>
          <w:szCs w:val="20"/>
        </w:rPr>
        <w:t>Bhagat</w:t>
      </w:r>
      <w:proofErr w:type="spellEnd"/>
      <w:r>
        <w:rPr>
          <w:rFonts w:ascii="Arial" w:hAnsi="Arial" w:cs="Arial"/>
          <w:color w:val="000000"/>
          <w:sz w:val="20"/>
          <w:szCs w:val="20"/>
        </w:rPr>
        <w:t xml:space="preserve"> Singh Road, Mumbai - 400001.</w:t>
      </w:r>
    </w:p>
    <w:p w:rsidR="004F39BA" w:rsidRDefault="004F39BA" w:rsidP="004F39BA">
      <w:pPr>
        <w:pStyle w:val="NormalWeb"/>
        <w:jc w:val="both"/>
        <w:rPr>
          <w:rFonts w:ascii="Arial" w:hAnsi="Arial" w:cs="Arial"/>
          <w:color w:val="000000"/>
          <w:sz w:val="20"/>
          <w:szCs w:val="20"/>
        </w:rPr>
      </w:pPr>
      <w:r>
        <w:rPr>
          <w:rFonts w:ascii="Arial" w:hAnsi="Arial" w:cs="Arial"/>
          <w:color w:val="000000"/>
          <w:sz w:val="20"/>
          <w:szCs w:val="20"/>
        </w:rPr>
        <w:t>Yours faithfully,</w:t>
      </w:r>
    </w:p>
    <w:p w:rsidR="004F39BA" w:rsidRDefault="004F39BA" w:rsidP="004F39B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4F39BA" w:rsidRDefault="004F39BA" w:rsidP="004F39BA">
      <w:pPr>
        <w:pStyle w:val="NormalWeb"/>
        <w:rPr>
          <w:rFonts w:ascii="Arial" w:hAnsi="Arial" w:cs="Arial"/>
          <w:color w:val="000000"/>
          <w:sz w:val="20"/>
          <w:szCs w:val="20"/>
        </w:rPr>
      </w:pPr>
      <w:r w:rsidRPr="004F39BA">
        <w:rPr>
          <w:rFonts w:ascii="Arial" w:hAnsi="Arial" w:cs="Arial"/>
          <w:color w:val="000000"/>
          <w:sz w:val="20"/>
          <w:szCs w:val="20"/>
        </w:rPr>
        <w:t>For more details, kindly refer:</w:t>
      </w:r>
    </w:p>
    <w:p w:rsidR="004F39BA" w:rsidRDefault="004F39BA" w:rsidP="004F39BA">
      <w:pPr>
        <w:pStyle w:val="NormalWeb"/>
        <w:rPr>
          <w:rFonts w:ascii="Arial" w:hAnsi="Arial" w:cs="Arial"/>
          <w:color w:val="000000"/>
          <w:sz w:val="20"/>
          <w:szCs w:val="20"/>
        </w:rPr>
      </w:pPr>
      <w:hyperlink r:id="rId90" w:history="1">
        <w:r w:rsidRPr="00332F6B">
          <w:rPr>
            <w:rStyle w:val="Hyperlink"/>
            <w:rFonts w:ascii="Arial" w:hAnsi="Arial" w:cs="Arial"/>
            <w:sz w:val="20"/>
            <w:szCs w:val="20"/>
          </w:rPr>
          <w:t>https://www.rbi.org.in/Scripts/NotificationUser.aspx?Id=12676&amp;Mode=0</w:t>
        </w:r>
      </w:hyperlink>
      <w:r>
        <w:rPr>
          <w:rFonts w:ascii="Arial" w:hAnsi="Arial" w:cs="Arial"/>
          <w:color w:val="000000"/>
          <w:sz w:val="20"/>
          <w:szCs w:val="20"/>
        </w:rPr>
        <w:t xml:space="preserve"> </w:t>
      </w:r>
    </w:p>
    <w:p w:rsidR="004F39BA" w:rsidRPr="001416E3" w:rsidRDefault="004F39BA" w:rsidP="001416E3">
      <w:pPr>
        <w:spacing w:before="100" w:beforeAutospacing="1" w:after="100" w:afterAutospacing="1" w:line="240" w:lineRule="auto"/>
        <w:rPr>
          <w:rFonts w:ascii="Arial" w:eastAsia="Times New Roman" w:hAnsi="Arial" w:cs="Arial"/>
          <w:color w:val="000000"/>
          <w:sz w:val="20"/>
          <w:szCs w:val="20"/>
          <w:lang w:eastAsia="en-IN"/>
        </w:rPr>
      </w:pPr>
    </w:p>
    <w:p w:rsidR="001416E3" w:rsidRPr="00D327FB" w:rsidRDefault="001416E3" w:rsidP="00D327FB">
      <w:pPr>
        <w:spacing w:before="100" w:beforeAutospacing="1" w:after="100" w:afterAutospacing="1" w:line="240" w:lineRule="auto"/>
        <w:rPr>
          <w:rFonts w:ascii="Arial" w:eastAsia="Times New Roman" w:hAnsi="Arial" w:cs="Arial"/>
          <w:color w:val="000000"/>
          <w:sz w:val="20"/>
          <w:szCs w:val="20"/>
          <w:lang w:eastAsia="en-IN"/>
        </w:rPr>
      </w:pPr>
    </w:p>
    <w:p w:rsidR="00D327FB" w:rsidRDefault="00D327FB"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Default="006B115A" w:rsidP="00D327FB"/>
    <w:p w:rsidR="006B115A" w:rsidRPr="006B115A" w:rsidRDefault="006B115A" w:rsidP="006B115A">
      <w:pPr>
        <w:pStyle w:val="head"/>
        <w:jc w:val="both"/>
        <w:rPr>
          <w:rFonts w:ascii="Arial" w:hAnsi="Arial" w:cs="Arial"/>
          <w:b/>
          <w:bCs/>
          <w:color w:val="000000"/>
          <w:sz w:val="20"/>
          <w:szCs w:val="20"/>
        </w:rPr>
      </w:pPr>
      <w:r>
        <w:rPr>
          <w:rFonts w:ascii="Arial" w:hAnsi="Arial" w:cs="Arial"/>
          <w:b/>
          <w:bCs/>
          <w:color w:val="000000"/>
          <w:sz w:val="20"/>
          <w:szCs w:val="20"/>
          <w:u w:val="single"/>
        </w:rPr>
        <w:lastRenderedPageBreak/>
        <w:t>Fair Practices Code for Lenders – Charging of Interest</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RBI/2024-25/30</w:t>
      </w:r>
      <w:r>
        <w:rPr>
          <w:rFonts w:ascii="Arial" w:hAnsi="Arial" w:cs="Arial"/>
          <w:color w:val="000000"/>
          <w:sz w:val="20"/>
          <w:szCs w:val="20"/>
        </w:rPr>
        <w:br/>
        <w:t>DoS.CO.PPG.SEC.1/11.01.005/2024-25</w:t>
      </w:r>
    </w:p>
    <w:p w:rsidR="006B115A" w:rsidRDefault="006B115A" w:rsidP="006B115A">
      <w:pPr>
        <w:pStyle w:val="NormalWeb"/>
        <w:jc w:val="right"/>
        <w:rPr>
          <w:rFonts w:ascii="Arial" w:hAnsi="Arial" w:cs="Arial"/>
          <w:color w:val="000000"/>
          <w:sz w:val="20"/>
          <w:szCs w:val="20"/>
        </w:rPr>
      </w:pPr>
      <w:r>
        <w:rPr>
          <w:rFonts w:ascii="Arial" w:hAnsi="Arial" w:cs="Arial"/>
          <w:color w:val="000000"/>
          <w:sz w:val="20"/>
          <w:szCs w:val="20"/>
        </w:rPr>
        <w:t>April 29, 2024</w:t>
      </w:r>
    </w:p>
    <w:p w:rsidR="006B115A" w:rsidRDefault="006B115A" w:rsidP="006B115A">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 State Co-operative Banks/</w:t>
      </w:r>
      <w:r>
        <w:rPr>
          <w:rFonts w:ascii="Arial" w:hAnsi="Arial" w:cs="Arial"/>
          <w:color w:val="000000"/>
          <w:sz w:val="20"/>
          <w:szCs w:val="20"/>
        </w:rPr>
        <w:br/>
        <w:t>District Central Co-operative Banks</w:t>
      </w:r>
      <w:r>
        <w:rPr>
          <w:rFonts w:ascii="Arial" w:hAnsi="Arial" w:cs="Arial"/>
          <w:color w:val="000000"/>
          <w:sz w:val="20"/>
          <w:szCs w:val="20"/>
        </w:rPr>
        <w:br/>
        <w:t>All Non-Banking Financial Companies (including Microfinance Institutions and Housing Finance Companies)</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Madam / Dear Sir,</w:t>
      </w:r>
    </w:p>
    <w:p w:rsidR="006B115A" w:rsidRDefault="006B115A" w:rsidP="006B115A">
      <w:pPr>
        <w:pStyle w:val="head"/>
        <w:jc w:val="both"/>
        <w:rPr>
          <w:rFonts w:ascii="Arial" w:hAnsi="Arial" w:cs="Arial"/>
          <w:b/>
          <w:bCs/>
          <w:color w:val="000000"/>
          <w:sz w:val="20"/>
          <w:szCs w:val="20"/>
        </w:rPr>
      </w:pPr>
      <w:r>
        <w:rPr>
          <w:rFonts w:ascii="Arial" w:hAnsi="Arial" w:cs="Arial"/>
          <w:b/>
          <w:bCs/>
          <w:color w:val="000000"/>
          <w:sz w:val="20"/>
          <w:szCs w:val="20"/>
          <w:u w:val="single"/>
        </w:rPr>
        <w:t>Fair Practices Code for Lenders – Charging of Interest</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The guidelines on Fair Practices Code issued to various Regulated Entities (REs) since 2003, inter-alia, advocate fairness and transparency in charging of interest by the lenders, while providing adequate freedom to REs as regards their loan pricing policy.</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 xml:space="preserve">2. During the course of the onsite examination of REs for the period ended March 31, 2023, the Reserve Bank came across instances of lenders resorting to certain unfair practices in charging of interest. Some of the unfair practices observed </w:t>
      </w:r>
      <w:proofErr w:type="gramStart"/>
      <w:r>
        <w:rPr>
          <w:rFonts w:ascii="Arial" w:hAnsi="Arial" w:cs="Arial"/>
          <w:color w:val="000000"/>
          <w:sz w:val="20"/>
          <w:szCs w:val="20"/>
        </w:rPr>
        <w:t>are briefly explained</w:t>
      </w:r>
      <w:proofErr w:type="gramEnd"/>
      <w:r>
        <w:rPr>
          <w:rFonts w:ascii="Arial" w:hAnsi="Arial" w:cs="Arial"/>
          <w:color w:val="000000"/>
          <w:sz w:val="20"/>
          <w:szCs w:val="20"/>
        </w:rPr>
        <w:t xml:space="preserve"> below:</w:t>
      </w:r>
    </w:p>
    <w:p w:rsidR="006B115A" w:rsidRDefault="006B115A" w:rsidP="006B115A">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 xml:space="preserve">Charging of interest from the date of sanction of loan or date of execution of loan agreement and not from the date of actual disbursement of the funds to the customer. Similarly, in the case of loans </w:t>
      </w:r>
      <w:proofErr w:type="gramStart"/>
      <w:r>
        <w:rPr>
          <w:rFonts w:ascii="Arial" w:hAnsi="Arial" w:cs="Arial"/>
          <w:color w:val="000000"/>
          <w:sz w:val="20"/>
          <w:szCs w:val="20"/>
        </w:rPr>
        <w:t>being disbursed</w:t>
      </w:r>
      <w:proofErr w:type="gramEnd"/>
      <w:r>
        <w:rPr>
          <w:rFonts w:ascii="Arial" w:hAnsi="Arial" w:cs="Arial"/>
          <w:color w:val="000000"/>
          <w:sz w:val="20"/>
          <w:szCs w:val="20"/>
        </w:rPr>
        <w:t xml:space="preserve"> by cheque, instances were observed where interest was charged from the date of the cheque whereas the cheque was handed over to the customer several days later.</w:t>
      </w:r>
    </w:p>
    <w:p w:rsidR="006B115A" w:rsidRDefault="006B115A" w:rsidP="006B115A">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In the case of disbursal or repayment of loans during the course of the month, some REs were charging interest for the entire month, rather than charging interest only for the period for which the loan was outstanding.</w:t>
      </w:r>
    </w:p>
    <w:p w:rsidR="006B115A" w:rsidRDefault="006B115A" w:rsidP="006B115A">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 xml:space="preserve">In some cases, it </w:t>
      </w:r>
      <w:proofErr w:type="gramStart"/>
      <w:r>
        <w:rPr>
          <w:rFonts w:ascii="Arial" w:hAnsi="Arial" w:cs="Arial"/>
          <w:color w:val="000000"/>
          <w:sz w:val="20"/>
          <w:szCs w:val="20"/>
        </w:rPr>
        <w:t>was observed</w:t>
      </w:r>
      <w:proofErr w:type="gramEnd"/>
      <w:r>
        <w:rPr>
          <w:rFonts w:ascii="Arial" w:hAnsi="Arial" w:cs="Arial"/>
          <w:color w:val="000000"/>
          <w:sz w:val="20"/>
          <w:szCs w:val="20"/>
        </w:rPr>
        <w:t xml:space="preserve"> that REs were collecting one or more instalments in advance but reckoning the full loan amount for charging interest.</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 xml:space="preserve">3. These and other such non-standard practices of charging interest are not in consonance with the spirit of fairness and transparency while dealing with customers. These are matters of serious concern to the Reserve Bank. Wherever such practices have </w:t>
      </w:r>
      <w:proofErr w:type="gramStart"/>
      <w:r>
        <w:rPr>
          <w:rFonts w:ascii="Arial" w:hAnsi="Arial" w:cs="Arial"/>
          <w:color w:val="000000"/>
          <w:sz w:val="20"/>
          <w:szCs w:val="20"/>
        </w:rPr>
        <w:t>come to light</w:t>
      </w:r>
      <w:proofErr w:type="gramEnd"/>
      <w:r>
        <w:rPr>
          <w:rFonts w:ascii="Arial" w:hAnsi="Arial" w:cs="Arial"/>
          <w:color w:val="000000"/>
          <w:sz w:val="20"/>
          <w:szCs w:val="20"/>
        </w:rPr>
        <w:t xml:space="preserve">, RBI through its supervisory teams has advised REs to refund such excess interest and other charges to customers. REs are also being encouraged to use online account transfers in lieu of cheques </w:t>
      </w:r>
      <w:proofErr w:type="gramStart"/>
      <w:r>
        <w:rPr>
          <w:rFonts w:ascii="Arial" w:hAnsi="Arial" w:cs="Arial"/>
          <w:color w:val="000000"/>
          <w:sz w:val="20"/>
          <w:szCs w:val="20"/>
        </w:rPr>
        <w:t>being issued</w:t>
      </w:r>
      <w:proofErr w:type="gramEnd"/>
      <w:r>
        <w:rPr>
          <w:rFonts w:ascii="Arial" w:hAnsi="Arial" w:cs="Arial"/>
          <w:color w:val="000000"/>
          <w:sz w:val="20"/>
          <w:szCs w:val="20"/>
        </w:rPr>
        <w:t xml:space="preserve"> in a few cases for loan disbursal.</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5. This circular takes immediate effect.</w:t>
      </w:r>
    </w:p>
    <w:p w:rsidR="006B115A" w:rsidRDefault="006B115A" w:rsidP="006B115A">
      <w:pPr>
        <w:pStyle w:val="NormalWeb"/>
        <w:jc w:val="both"/>
        <w:rPr>
          <w:rFonts w:ascii="Arial" w:hAnsi="Arial" w:cs="Arial"/>
          <w:color w:val="000000"/>
          <w:sz w:val="20"/>
          <w:szCs w:val="20"/>
        </w:rPr>
      </w:pPr>
      <w:r>
        <w:rPr>
          <w:rFonts w:ascii="Arial" w:hAnsi="Arial" w:cs="Arial"/>
          <w:color w:val="000000"/>
          <w:sz w:val="20"/>
          <w:szCs w:val="20"/>
        </w:rPr>
        <w:t>Yours faithfully,</w:t>
      </w:r>
    </w:p>
    <w:p w:rsidR="006B115A" w:rsidRDefault="006B115A" w:rsidP="006B115A">
      <w:pPr>
        <w:pStyle w:val="NormalWeb"/>
        <w:rPr>
          <w:rFonts w:ascii="Arial" w:hAnsi="Arial" w:cs="Arial"/>
          <w:color w:val="000000"/>
          <w:sz w:val="20"/>
          <w:szCs w:val="20"/>
        </w:rPr>
      </w:pPr>
      <w:r>
        <w:rPr>
          <w:rFonts w:ascii="Arial" w:hAnsi="Arial" w:cs="Arial"/>
          <w:color w:val="000000"/>
          <w:sz w:val="20"/>
          <w:szCs w:val="20"/>
        </w:rPr>
        <w:t>(Tarun Singh)</w:t>
      </w:r>
      <w:r>
        <w:rPr>
          <w:rFonts w:ascii="Arial" w:hAnsi="Arial" w:cs="Arial"/>
          <w:color w:val="000000"/>
          <w:sz w:val="20"/>
          <w:szCs w:val="20"/>
        </w:rPr>
        <w:br/>
        <w:t>Chief General Manager</w:t>
      </w:r>
    </w:p>
    <w:p w:rsidR="006B115A" w:rsidRDefault="006B115A" w:rsidP="006B115A">
      <w:pPr>
        <w:pStyle w:val="NormalWeb"/>
        <w:rPr>
          <w:rFonts w:ascii="Arial" w:hAnsi="Arial" w:cs="Arial"/>
          <w:color w:val="000000"/>
          <w:sz w:val="20"/>
          <w:szCs w:val="20"/>
        </w:rPr>
      </w:pPr>
      <w:r w:rsidRPr="006B115A">
        <w:rPr>
          <w:rFonts w:ascii="Arial" w:hAnsi="Arial" w:cs="Arial"/>
          <w:color w:val="000000"/>
          <w:sz w:val="20"/>
          <w:szCs w:val="20"/>
        </w:rPr>
        <w:t>For more details, kindly refer:</w:t>
      </w:r>
    </w:p>
    <w:p w:rsidR="006B115A" w:rsidRDefault="006B115A" w:rsidP="006B115A">
      <w:pPr>
        <w:pStyle w:val="NormalWeb"/>
        <w:rPr>
          <w:rFonts w:ascii="Arial" w:hAnsi="Arial" w:cs="Arial"/>
          <w:color w:val="000000"/>
          <w:sz w:val="20"/>
          <w:szCs w:val="20"/>
        </w:rPr>
      </w:pPr>
      <w:hyperlink r:id="rId91" w:history="1">
        <w:r w:rsidRPr="00332F6B">
          <w:rPr>
            <w:rStyle w:val="Hyperlink"/>
            <w:rFonts w:ascii="Arial" w:hAnsi="Arial" w:cs="Arial"/>
            <w:sz w:val="20"/>
            <w:szCs w:val="20"/>
          </w:rPr>
          <w:t>https://www.rbi.org.in/Scripts/NotificationUser.aspx?Id=12678&amp;Mode=0</w:t>
        </w:r>
      </w:hyperlink>
      <w:r>
        <w:rPr>
          <w:rFonts w:ascii="Arial" w:hAnsi="Arial" w:cs="Arial"/>
          <w:color w:val="000000"/>
          <w:sz w:val="20"/>
          <w:szCs w:val="20"/>
        </w:rPr>
        <w:t xml:space="preserve"> </w:t>
      </w:r>
    </w:p>
    <w:p w:rsidR="000129DE" w:rsidRPr="000129DE" w:rsidRDefault="000129DE" w:rsidP="000129DE">
      <w:pPr>
        <w:spacing w:before="100" w:beforeAutospacing="1" w:after="100" w:afterAutospacing="1" w:line="240" w:lineRule="auto"/>
        <w:jc w:val="center"/>
        <w:rPr>
          <w:rFonts w:ascii="Arial" w:eastAsia="Times New Roman" w:hAnsi="Arial" w:cs="Arial"/>
          <w:b/>
          <w:bCs/>
          <w:color w:val="000000"/>
          <w:sz w:val="20"/>
          <w:szCs w:val="20"/>
          <w:lang w:eastAsia="en-IN"/>
        </w:rPr>
      </w:pPr>
      <w:r w:rsidRPr="000129DE">
        <w:rPr>
          <w:rFonts w:ascii="Arial" w:eastAsia="Times New Roman" w:hAnsi="Arial" w:cs="Arial"/>
          <w:b/>
          <w:bCs/>
          <w:color w:val="000000"/>
          <w:sz w:val="20"/>
          <w:szCs w:val="20"/>
          <w:lang w:eastAsia="en-IN"/>
        </w:rPr>
        <w:lastRenderedPageBreak/>
        <w:t>Amendment to Master Direction - Reserve Bank of India (Interest Rate on Deposits) Directions, 2016</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RBI/2024-25/40</w:t>
      </w:r>
      <w:r w:rsidRPr="000129DE">
        <w:rPr>
          <w:rFonts w:ascii="Arial" w:eastAsia="Times New Roman" w:hAnsi="Arial" w:cs="Arial"/>
          <w:color w:val="000000"/>
          <w:sz w:val="20"/>
          <w:szCs w:val="20"/>
          <w:lang w:eastAsia="en-IN"/>
        </w:rPr>
        <w:br/>
        <w:t>DoR.SPE.REC.No.24/13.03.00/2024-2025</w:t>
      </w:r>
    </w:p>
    <w:p w:rsidR="000129DE" w:rsidRPr="000129DE" w:rsidRDefault="000129DE" w:rsidP="000129DE">
      <w:pPr>
        <w:spacing w:before="100" w:beforeAutospacing="1" w:after="100" w:afterAutospacing="1" w:line="240" w:lineRule="auto"/>
        <w:jc w:val="right"/>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June 07, 2024</w:t>
      </w:r>
    </w:p>
    <w:p w:rsidR="000129DE" w:rsidRPr="000129DE" w:rsidRDefault="000129DE" w:rsidP="000129DE">
      <w:pPr>
        <w:spacing w:before="100" w:beforeAutospacing="1" w:after="100" w:afterAutospacing="1" w:line="240" w:lineRule="auto"/>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All Scheduled Commercial Banks (excluding RRBs</w:t>
      </w:r>
      <w:proofErr w:type="gramStart"/>
      <w:r w:rsidRPr="000129DE">
        <w:rPr>
          <w:rFonts w:ascii="Arial" w:eastAsia="Times New Roman" w:hAnsi="Arial" w:cs="Arial"/>
          <w:color w:val="000000"/>
          <w:sz w:val="20"/>
          <w:szCs w:val="20"/>
          <w:lang w:eastAsia="en-IN"/>
        </w:rPr>
        <w:t>)</w:t>
      </w:r>
      <w:proofErr w:type="gramEnd"/>
      <w:r w:rsidRPr="000129DE">
        <w:rPr>
          <w:rFonts w:ascii="Arial" w:eastAsia="Times New Roman" w:hAnsi="Arial" w:cs="Arial"/>
          <w:color w:val="000000"/>
          <w:sz w:val="20"/>
          <w:szCs w:val="20"/>
          <w:lang w:eastAsia="en-IN"/>
        </w:rPr>
        <w:br/>
        <w:t>All Small Finance Banks</w:t>
      </w:r>
      <w:r w:rsidRPr="000129DE">
        <w:rPr>
          <w:rFonts w:ascii="Arial" w:eastAsia="Times New Roman" w:hAnsi="Arial" w:cs="Arial"/>
          <w:color w:val="000000"/>
          <w:sz w:val="20"/>
          <w:szCs w:val="20"/>
          <w:lang w:eastAsia="en-IN"/>
        </w:rPr>
        <w:br/>
        <w:t>All Local Area Banks</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Madam / Sir,</w:t>
      </w:r>
    </w:p>
    <w:p w:rsidR="000129DE" w:rsidRPr="000129DE" w:rsidRDefault="000129DE" w:rsidP="000129DE">
      <w:pPr>
        <w:spacing w:before="100" w:beforeAutospacing="1" w:after="100" w:afterAutospacing="1" w:line="240" w:lineRule="auto"/>
        <w:jc w:val="center"/>
        <w:rPr>
          <w:rFonts w:ascii="Arial" w:eastAsia="Times New Roman" w:hAnsi="Arial" w:cs="Arial"/>
          <w:b/>
          <w:bCs/>
          <w:color w:val="000000"/>
          <w:sz w:val="20"/>
          <w:szCs w:val="20"/>
          <w:lang w:eastAsia="en-IN"/>
        </w:rPr>
      </w:pPr>
      <w:r w:rsidRPr="000129DE">
        <w:rPr>
          <w:rFonts w:ascii="Arial" w:eastAsia="Times New Roman" w:hAnsi="Arial" w:cs="Arial"/>
          <w:b/>
          <w:bCs/>
          <w:color w:val="000000"/>
          <w:sz w:val="20"/>
          <w:szCs w:val="20"/>
          <w:lang w:eastAsia="en-IN"/>
        </w:rPr>
        <w:t>Amendment to Master Direction - Reserve Bank of India (Interest Rate on Deposits) Directions, 2016</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Please refer to paragraph 3(a</w:t>
      </w:r>
      <w:proofErr w:type="gramStart"/>
      <w:r w:rsidRPr="000129DE">
        <w:rPr>
          <w:rFonts w:ascii="Arial" w:eastAsia="Times New Roman" w:hAnsi="Arial" w:cs="Arial"/>
          <w:color w:val="000000"/>
          <w:sz w:val="20"/>
          <w:szCs w:val="20"/>
          <w:lang w:eastAsia="en-IN"/>
        </w:rPr>
        <w:t>)(</w:t>
      </w:r>
      <w:proofErr w:type="spellStart"/>
      <w:proofErr w:type="gramEnd"/>
      <w:r w:rsidRPr="000129DE">
        <w:rPr>
          <w:rFonts w:ascii="Arial" w:eastAsia="Times New Roman" w:hAnsi="Arial" w:cs="Arial"/>
          <w:color w:val="000000"/>
          <w:sz w:val="20"/>
          <w:szCs w:val="20"/>
          <w:lang w:eastAsia="en-IN"/>
        </w:rPr>
        <w:t>i</w:t>
      </w:r>
      <w:proofErr w:type="spellEnd"/>
      <w:r w:rsidRPr="000129DE">
        <w:rPr>
          <w:rFonts w:ascii="Arial" w:eastAsia="Times New Roman" w:hAnsi="Arial" w:cs="Arial"/>
          <w:color w:val="000000"/>
          <w:sz w:val="20"/>
          <w:szCs w:val="20"/>
          <w:lang w:eastAsia="en-IN"/>
        </w:rPr>
        <w:t>) of the </w:t>
      </w:r>
      <w:hyperlink r:id="rId92" w:anchor="2" w:tgtFrame="_blank" w:history="1">
        <w:r w:rsidRPr="000129DE">
          <w:rPr>
            <w:rFonts w:ascii="Arial" w:eastAsia="Times New Roman" w:hAnsi="Arial" w:cs="Arial"/>
            <w:color w:val="0000FF"/>
            <w:sz w:val="20"/>
            <w:szCs w:val="20"/>
            <w:u w:val="single"/>
            <w:lang w:eastAsia="en-IN"/>
          </w:rPr>
          <w:t>Master Direction - Reserve Bank of India (Interest Rate on Deposits) Directions, 2016 dated March 03, 2016</w:t>
        </w:r>
      </w:hyperlink>
      <w:r w:rsidRPr="000129DE">
        <w:rPr>
          <w:rFonts w:ascii="Arial" w:eastAsia="Times New Roman" w:hAnsi="Arial" w:cs="Arial"/>
          <w:color w:val="000000"/>
          <w:sz w:val="20"/>
          <w:szCs w:val="20"/>
          <w:lang w:eastAsia="en-IN"/>
        </w:rPr>
        <w:t>, wherein the definition of “Bulk Deposits” has been prescribed.</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 xml:space="preserve">2. On a review, it </w:t>
      </w:r>
      <w:proofErr w:type="gramStart"/>
      <w:r w:rsidRPr="000129DE">
        <w:rPr>
          <w:rFonts w:ascii="Arial" w:eastAsia="Times New Roman" w:hAnsi="Arial" w:cs="Arial"/>
          <w:color w:val="000000"/>
          <w:sz w:val="20"/>
          <w:szCs w:val="20"/>
          <w:lang w:eastAsia="en-IN"/>
        </w:rPr>
        <w:t>has been decided</w:t>
      </w:r>
      <w:proofErr w:type="gramEnd"/>
      <w:r w:rsidRPr="000129DE">
        <w:rPr>
          <w:rFonts w:ascii="Arial" w:eastAsia="Times New Roman" w:hAnsi="Arial" w:cs="Arial"/>
          <w:color w:val="000000"/>
          <w:sz w:val="20"/>
          <w:szCs w:val="20"/>
          <w:lang w:eastAsia="en-IN"/>
        </w:rPr>
        <w:t xml:space="preserve"> to revise the definition of bulk deposits for all Scheduled Commercial Banks (excluding RRBs), Small Finance Banks and Local Area Banks. The term “Bulk Deposit” would now mean:</w:t>
      </w:r>
    </w:p>
    <w:p w:rsidR="000129DE" w:rsidRPr="000129DE" w:rsidRDefault="000129DE" w:rsidP="000129DE">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 xml:space="preserve">Single Rupee term deposits of Rupees </w:t>
      </w:r>
      <w:proofErr w:type="gramStart"/>
      <w:r w:rsidRPr="000129DE">
        <w:rPr>
          <w:rFonts w:ascii="Arial" w:eastAsia="Times New Roman" w:hAnsi="Arial" w:cs="Arial"/>
          <w:color w:val="000000"/>
          <w:sz w:val="20"/>
          <w:szCs w:val="20"/>
          <w:lang w:eastAsia="en-IN"/>
        </w:rPr>
        <w:t>three</w:t>
      </w:r>
      <w:proofErr w:type="gramEnd"/>
      <w:r w:rsidRPr="000129DE">
        <w:rPr>
          <w:rFonts w:ascii="Arial" w:eastAsia="Times New Roman" w:hAnsi="Arial" w:cs="Arial"/>
          <w:color w:val="000000"/>
          <w:sz w:val="20"/>
          <w:szCs w:val="20"/>
          <w:lang w:eastAsia="en-IN"/>
        </w:rPr>
        <w:t xml:space="preserve"> crore and above for Scheduled Commercial Banks (excluding RRBs) and Small Finance Banks.</w:t>
      </w:r>
    </w:p>
    <w:p w:rsidR="000129DE" w:rsidRPr="000129DE" w:rsidRDefault="000129DE" w:rsidP="000129DE">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 xml:space="preserve">Single Rupee term deposits of Rupees </w:t>
      </w:r>
      <w:proofErr w:type="gramStart"/>
      <w:r w:rsidRPr="000129DE">
        <w:rPr>
          <w:rFonts w:ascii="Arial" w:eastAsia="Times New Roman" w:hAnsi="Arial" w:cs="Arial"/>
          <w:color w:val="000000"/>
          <w:sz w:val="20"/>
          <w:szCs w:val="20"/>
          <w:lang w:eastAsia="en-IN"/>
        </w:rPr>
        <w:t>one</w:t>
      </w:r>
      <w:proofErr w:type="gramEnd"/>
      <w:r w:rsidRPr="000129DE">
        <w:rPr>
          <w:rFonts w:ascii="Arial" w:eastAsia="Times New Roman" w:hAnsi="Arial" w:cs="Arial"/>
          <w:color w:val="000000"/>
          <w:sz w:val="20"/>
          <w:szCs w:val="20"/>
          <w:lang w:eastAsia="en-IN"/>
        </w:rPr>
        <w:t xml:space="preserve"> crore and above for Local Area Banks as applicable in case of Regional Rural Banks.</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 xml:space="preserve">3. The relevant provisions of the Master Direction </w:t>
      </w:r>
      <w:proofErr w:type="gramStart"/>
      <w:r w:rsidRPr="000129DE">
        <w:rPr>
          <w:rFonts w:ascii="Arial" w:eastAsia="Times New Roman" w:hAnsi="Arial" w:cs="Arial"/>
          <w:color w:val="000000"/>
          <w:sz w:val="20"/>
          <w:szCs w:val="20"/>
          <w:lang w:eastAsia="en-IN"/>
        </w:rPr>
        <w:t>are being modified</w:t>
      </w:r>
      <w:proofErr w:type="gramEnd"/>
      <w:r w:rsidRPr="000129DE">
        <w:rPr>
          <w:rFonts w:ascii="Arial" w:eastAsia="Times New Roman" w:hAnsi="Arial" w:cs="Arial"/>
          <w:color w:val="000000"/>
          <w:sz w:val="20"/>
          <w:szCs w:val="20"/>
          <w:lang w:eastAsia="en-IN"/>
        </w:rPr>
        <w:t xml:space="preserve"> to reflect the changes as given in the </w:t>
      </w:r>
      <w:hyperlink r:id="rId93" w:anchor="ANN" w:history="1">
        <w:r w:rsidRPr="000129DE">
          <w:rPr>
            <w:rFonts w:ascii="Arial" w:eastAsia="Times New Roman" w:hAnsi="Arial" w:cs="Arial"/>
            <w:color w:val="0000FF"/>
            <w:sz w:val="20"/>
            <w:szCs w:val="20"/>
            <w:u w:val="single"/>
            <w:lang w:eastAsia="en-IN"/>
          </w:rPr>
          <w:t>Annex</w:t>
        </w:r>
      </w:hyperlink>
      <w:r w:rsidRPr="000129DE">
        <w:rPr>
          <w:rFonts w:ascii="Arial" w:eastAsia="Times New Roman" w:hAnsi="Arial" w:cs="Arial"/>
          <w:color w:val="000000"/>
          <w:sz w:val="20"/>
          <w:szCs w:val="20"/>
          <w:lang w:eastAsia="en-IN"/>
        </w:rPr>
        <w:t>. All other instructions in this regard shall remain unchanged.</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 xml:space="preserve">4. These instructions </w:t>
      </w:r>
      <w:proofErr w:type="gramStart"/>
      <w:r w:rsidRPr="000129DE">
        <w:rPr>
          <w:rFonts w:ascii="Arial" w:eastAsia="Times New Roman" w:hAnsi="Arial" w:cs="Arial"/>
          <w:color w:val="000000"/>
          <w:sz w:val="20"/>
          <w:szCs w:val="20"/>
          <w:lang w:eastAsia="en-IN"/>
        </w:rPr>
        <w:t>are issued</w:t>
      </w:r>
      <w:proofErr w:type="gramEnd"/>
      <w:r w:rsidRPr="000129DE">
        <w:rPr>
          <w:rFonts w:ascii="Arial" w:eastAsia="Times New Roman" w:hAnsi="Arial" w:cs="Arial"/>
          <w:color w:val="000000"/>
          <w:sz w:val="20"/>
          <w:szCs w:val="20"/>
          <w:lang w:eastAsia="en-IN"/>
        </w:rPr>
        <w:t xml:space="preserve"> in exercise of the powers conferred by Section 35A of the Banking Regulation Act, 1949.</w:t>
      </w:r>
    </w:p>
    <w:p w:rsidR="000129DE" w:rsidRPr="000129DE" w:rsidRDefault="000129DE" w:rsidP="000129DE">
      <w:pPr>
        <w:spacing w:before="100" w:beforeAutospacing="1" w:after="100" w:afterAutospacing="1" w:line="240" w:lineRule="auto"/>
        <w:jc w:val="both"/>
        <w:rPr>
          <w:rFonts w:ascii="Arial" w:eastAsia="Times New Roman" w:hAnsi="Arial" w:cs="Arial"/>
          <w:b/>
          <w:bCs/>
          <w:color w:val="000000"/>
          <w:sz w:val="20"/>
          <w:szCs w:val="20"/>
          <w:lang w:eastAsia="en-IN"/>
        </w:rPr>
      </w:pPr>
      <w:r w:rsidRPr="000129DE">
        <w:rPr>
          <w:rFonts w:ascii="Arial" w:eastAsia="Times New Roman" w:hAnsi="Arial" w:cs="Arial"/>
          <w:b/>
          <w:bCs/>
          <w:color w:val="000000"/>
          <w:sz w:val="20"/>
          <w:szCs w:val="20"/>
          <w:lang w:eastAsia="en-IN"/>
        </w:rPr>
        <w:t>Applicability</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5. These instructions shall be applicable to all Scheduled Commercial Banks (excluding RRBs), Small Finance Banks and Local Area Banks.</w:t>
      </w:r>
    </w:p>
    <w:p w:rsidR="000129DE" w:rsidRPr="000129DE" w:rsidRDefault="000129DE" w:rsidP="000129DE">
      <w:pPr>
        <w:spacing w:before="100" w:beforeAutospacing="1" w:after="100" w:afterAutospacing="1" w:line="240" w:lineRule="auto"/>
        <w:jc w:val="both"/>
        <w:rPr>
          <w:rFonts w:ascii="Arial" w:eastAsia="Times New Roman" w:hAnsi="Arial" w:cs="Arial"/>
          <w:b/>
          <w:bCs/>
          <w:color w:val="000000"/>
          <w:sz w:val="20"/>
          <w:szCs w:val="20"/>
          <w:lang w:eastAsia="en-IN"/>
        </w:rPr>
      </w:pPr>
      <w:r w:rsidRPr="000129DE">
        <w:rPr>
          <w:rFonts w:ascii="Arial" w:eastAsia="Times New Roman" w:hAnsi="Arial" w:cs="Arial"/>
          <w:b/>
          <w:bCs/>
          <w:color w:val="000000"/>
          <w:sz w:val="20"/>
          <w:szCs w:val="20"/>
          <w:lang w:eastAsia="en-IN"/>
        </w:rPr>
        <w:t>Commencement</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These instructions shall come into force with immediate effect.</w:t>
      </w:r>
    </w:p>
    <w:p w:rsidR="000129DE" w:rsidRPr="000129DE" w:rsidRDefault="000129DE" w:rsidP="000129DE">
      <w:pPr>
        <w:spacing w:before="100" w:beforeAutospacing="1" w:after="100" w:afterAutospacing="1" w:line="240" w:lineRule="auto"/>
        <w:jc w:val="both"/>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Yours faithfully,</w:t>
      </w:r>
    </w:p>
    <w:p w:rsidR="000129DE" w:rsidRPr="000129DE" w:rsidRDefault="000129DE" w:rsidP="000129DE">
      <w:pPr>
        <w:spacing w:before="100" w:beforeAutospacing="1" w:after="100" w:afterAutospacing="1" w:line="240" w:lineRule="auto"/>
        <w:rPr>
          <w:rFonts w:ascii="Arial" w:eastAsia="Times New Roman" w:hAnsi="Arial" w:cs="Arial"/>
          <w:color w:val="000000"/>
          <w:sz w:val="20"/>
          <w:szCs w:val="20"/>
          <w:lang w:eastAsia="en-IN"/>
        </w:rPr>
      </w:pPr>
      <w:r w:rsidRPr="000129DE">
        <w:rPr>
          <w:rFonts w:ascii="Arial" w:eastAsia="Times New Roman" w:hAnsi="Arial" w:cs="Arial"/>
          <w:color w:val="000000"/>
          <w:sz w:val="20"/>
          <w:szCs w:val="20"/>
          <w:lang w:eastAsia="en-IN"/>
        </w:rPr>
        <w:t>(</w:t>
      </w:r>
      <w:proofErr w:type="spellStart"/>
      <w:r w:rsidRPr="000129DE">
        <w:rPr>
          <w:rFonts w:ascii="Arial" w:eastAsia="Times New Roman" w:hAnsi="Arial" w:cs="Arial"/>
          <w:color w:val="000000"/>
          <w:sz w:val="20"/>
          <w:szCs w:val="20"/>
          <w:lang w:eastAsia="en-IN"/>
        </w:rPr>
        <w:t>Latha</w:t>
      </w:r>
      <w:proofErr w:type="spellEnd"/>
      <w:r w:rsidRPr="000129DE">
        <w:rPr>
          <w:rFonts w:ascii="Arial" w:eastAsia="Times New Roman" w:hAnsi="Arial" w:cs="Arial"/>
          <w:color w:val="000000"/>
          <w:sz w:val="20"/>
          <w:szCs w:val="20"/>
          <w:lang w:eastAsia="en-IN"/>
        </w:rPr>
        <w:t xml:space="preserve"> </w:t>
      </w:r>
      <w:proofErr w:type="spellStart"/>
      <w:r w:rsidRPr="000129DE">
        <w:rPr>
          <w:rFonts w:ascii="Arial" w:eastAsia="Times New Roman" w:hAnsi="Arial" w:cs="Arial"/>
          <w:color w:val="000000"/>
          <w:sz w:val="20"/>
          <w:szCs w:val="20"/>
          <w:lang w:eastAsia="en-IN"/>
        </w:rPr>
        <w:t>Vishwanath</w:t>
      </w:r>
      <w:proofErr w:type="spellEnd"/>
      <w:r w:rsidRPr="000129DE">
        <w:rPr>
          <w:rFonts w:ascii="Arial" w:eastAsia="Times New Roman" w:hAnsi="Arial" w:cs="Arial"/>
          <w:color w:val="000000"/>
          <w:sz w:val="20"/>
          <w:szCs w:val="20"/>
          <w:lang w:eastAsia="en-IN"/>
        </w:rPr>
        <w:t>)</w:t>
      </w:r>
      <w:r w:rsidRPr="000129DE">
        <w:rPr>
          <w:rFonts w:ascii="Arial" w:eastAsia="Times New Roman" w:hAnsi="Arial" w:cs="Arial"/>
          <w:color w:val="000000"/>
          <w:sz w:val="20"/>
          <w:szCs w:val="20"/>
          <w:lang w:eastAsia="en-IN"/>
        </w:rPr>
        <w:br/>
        <w:t>Chief General Manager</w:t>
      </w:r>
    </w:p>
    <w:p w:rsidR="006B115A" w:rsidRDefault="000129DE" w:rsidP="00D327FB">
      <w:r w:rsidRPr="000129DE">
        <w:t>For more details, kindly refer:</w:t>
      </w:r>
    </w:p>
    <w:p w:rsidR="000129DE" w:rsidRDefault="000129DE" w:rsidP="00D327FB">
      <w:hyperlink r:id="rId94" w:history="1">
        <w:r w:rsidRPr="00332F6B">
          <w:rPr>
            <w:rStyle w:val="Hyperlink"/>
          </w:rPr>
          <w:t>https://www.rbi.org.in/Scripts/NotificationUser.aspx?Id=12690&amp;Mode=0</w:t>
        </w:r>
      </w:hyperlink>
      <w:r>
        <w:t xml:space="preserve"> </w:t>
      </w:r>
    </w:p>
    <w:p w:rsidR="009978EF" w:rsidRDefault="009978EF" w:rsidP="00D327FB"/>
    <w:p w:rsidR="009978EF" w:rsidRDefault="009978EF" w:rsidP="00D327FB"/>
    <w:p w:rsidR="009978EF" w:rsidRDefault="009978EF" w:rsidP="009978EF">
      <w:pPr>
        <w:pStyle w:val="head"/>
        <w:jc w:val="both"/>
        <w:rPr>
          <w:rFonts w:ascii="Arial" w:hAnsi="Arial" w:cs="Arial"/>
          <w:b/>
          <w:bCs/>
          <w:color w:val="000000"/>
          <w:sz w:val="20"/>
          <w:szCs w:val="20"/>
        </w:rPr>
      </w:pPr>
      <w:r>
        <w:rPr>
          <w:rFonts w:ascii="Arial" w:hAnsi="Arial" w:cs="Arial"/>
          <w:b/>
          <w:bCs/>
          <w:color w:val="000000"/>
          <w:sz w:val="20"/>
          <w:szCs w:val="20"/>
        </w:rPr>
        <w:lastRenderedPageBreak/>
        <w:t>Priority Sector Lending – Amendments to the Master Directions</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RBI/2024-25/44</w:t>
      </w:r>
      <w:r>
        <w:rPr>
          <w:rFonts w:ascii="Arial" w:hAnsi="Arial" w:cs="Arial"/>
          <w:color w:val="000000"/>
          <w:sz w:val="20"/>
          <w:szCs w:val="20"/>
        </w:rPr>
        <w:br/>
        <w:t>FIDD.CO.PSD.BC.No.7/04.09.01/2024-25</w:t>
      </w:r>
    </w:p>
    <w:p w:rsidR="009978EF" w:rsidRDefault="009978EF" w:rsidP="009978EF">
      <w:pPr>
        <w:pStyle w:val="NormalWeb"/>
        <w:jc w:val="right"/>
        <w:rPr>
          <w:rFonts w:ascii="Arial" w:hAnsi="Arial" w:cs="Arial"/>
          <w:color w:val="000000"/>
          <w:sz w:val="20"/>
          <w:szCs w:val="20"/>
        </w:rPr>
      </w:pPr>
      <w:r>
        <w:rPr>
          <w:rFonts w:ascii="Arial" w:hAnsi="Arial" w:cs="Arial"/>
          <w:color w:val="000000"/>
          <w:sz w:val="20"/>
          <w:szCs w:val="20"/>
        </w:rPr>
        <w:t>June 21, 2024</w:t>
      </w:r>
    </w:p>
    <w:p w:rsidR="009978EF" w:rsidRDefault="009978EF" w:rsidP="009978EF">
      <w:pPr>
        <w:pStyle w:val="NormalWeb"/>
        <w:rPr>
          <w:rFonts w:ascii="Arial" w:hAnsi="Arial" w:cs="Arial"/>
          <w:color w:val="000000"/>
          <w:sz w:val="20"/>
          <w:szCs w:val="20"/>
        </w:rPr>
      </w:pPr>
      <w:r>
        <w:rPr>
          <w:rFonts w:ascii="Arial" w:hAnsi="Arial" w:cs="Arial"/>
          <w:color w:val="000000"/>
          <w:sz w:val="20"/>
          <w:szCs w:val="20"/>
        </w:rPr>
        <w:t>The Chairman / Managing Director/</w:t>
      </w:r>
      <w:r>
        <w:rPr>
          <w:rFonts w:ascii="Arial" w:hAnsi="Arial" w:cs="Arial"/>
          <w:color w:val="000000"/>
          <w:sz w:val="20"/>
          <w:szCs w:val="20"/>
        </w:rPr>
        <w:br/>
        <w:t>Chief Executive Officer</w:t>
      </w:r>
      <w:r>
        <w:rPr>
          <w:rFonts w:ascii="Arial" w:hAnsi="Arial" w:cs="Arial"/>
          <w:color w:val="000000"/>
          <w:sz w:val="20"/>
          <w:szCs w:val="20"/>
        </w:rPr>
        <w:br/>
        <w:t>[All Commercial Banks including Regional Rural Banks,</w:t>
      </w:r>
      <w:r>
        <w:rPr>
          <w:rFonts w:ascii="Arial" w:hAnsi="Arial" w:cs="Arial"/>
          <w:color w:val="000000"/>
          <w:sz w:val="20"/>
          <w:szCs w:val="20"/>
        </w:rPr>
        <w:br/>
        <w:t>Small Finance Banks, Local Area Banks and</w:t>
      </w:r>
      <w:r>
        <w:rPr>
          <w:rFonts w:ascii="Arial" w:hAnsi="Arial" w:cs="Arial"/>
          <w:color w:val="000000"/>
          <w:sz w:val="20"/>
          <w:szCs w:val="20"/>
        </w:rPr>
        <w:br/>
        <w:t>Primary (Urban) Co-operative Banks other than Salary Earners’ Banks]</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Madam/ Dear Sir,</w:t>
      </w:r>
    </w:p>
    <w:p w:rsidR="009978EF" w:rsidRDefault="009978EF" w:rsidP="009978EF">
      <w:pPr>
        <w:pStyle w:val="head"/>
        <w:jc w:val="both"/>
        <w:rPr>
          <w:rFonts w:ascii="Arial" w:hAnsi="Arial" w:cs="Arial"/>
          <w:b/>
          <w:bCs/>
          <w:color w:val="000000"/>
          <w:sz w:val="20"/>
          <w:szCs w:val="20"/>
        </w:rPr>
      </w:pPr>
      <w:r>
        <w:rPr>
          <w:rFonts w:ascii="Arial" w:hAnsi="Arial" w:cs="Arial"/>
          <w:b/>
          <w:bCs/>
          <w:color w:val="000000"/>
          <w:sz w:val="20"/>
          <w:szCs w:val="20"/>
        </w:rPr>
        <w:t>Priority Sector Lending – Amendments to the Master Directions</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Please refer to </w:t>
      </w:r>
      <w:hyperlink r:id="rId95" w:tgtFrame="_blank" w:history="1">
        <w:r>
          <w:rPr>
            <w:rStyle w:val="Hyperlink"/>
            <w:rFonts w:ascii="Arial" w:hAnsi="Arial" w:cs="Arial"/>
            <w:sz w:val="20"/>
            <w:szCs w:val="20"/>
          </w:rPr>
          <w:t>Master Directions (MD) on Priority Sector Lending (PSL) dated September 04, 2020</w:t>
        </w:r>
      </w:hyperlink>
      <w:r>
        <w:rPr>
          <w:rFonts w:ascii="Arial" w:hAnsi="Arial" w:cs="Arial"/>
          <w:color w:val="000000"/>
          <w:sz w:val="20"/>
          <w:szCs w:val="20"/>
        </w:rPr>
        <w:t> as updated from time to time. The following paras of the Directions stand amended in view of factors detailed thereunder.</w:t>
      </w:r>
    </w:p>
    <w:p w:rsidR="009978EF" w:rsidRDefault="009978EF" w:rsidP="009978EF">
      <w:pPr>
        <w:pStyle w:val="head"/>
        <w:jc w:val="both"/>
        <w:rPr>
          <w:rFonts w:ascii="Arial" w:hAnsi="Arial" w:cs="Arial"/>
          <w:b/>
          <w:bCs/>
          <w:color w:val="000000"/>
          <w:sz w:val="20"/>
          <w:szCs w:val="20"/>
        </w:rPr>
      </w:pPr>
      <w:r>
        <w:rPr>
          <w:rFonts w:ascii="Arial" w:hAnsi="Arial" w:cs="Arial"/>
          <w:b/>
          <w:bCs/>
          <w:color w:val="000000"/>
          <w:sz w:val="20"/>
          <w:szCs w:val="20"/>
        </w:rPr>
        <w:t xml:space="preserve">2. Para </w:t>
      </w:r>
      <w:proofErr w:type="gramStart"/>
      <w:r>
        <w:rPr>
          <w:rFonts w:ascii="Arial" w:hAnsi="Arial" w:cs="Arial"/>
          <w:b/>
          <w:bCs/>
          <w:color w:val="000000"/>
          <w:sz w:val="20"/>
          <w:szCs w:val="20"/>
        </w:rPr>
        <w:t>7</w:t>
      </w:r>
      <w:proofErr w:type="gramEnd"/>
      <w:r>
        <w:rPr>
          <w:rFonts w:ascii="Arial" w:hAnsi="Arial" w:cs="Arial"/>
          <w:b/>
          <w:bCs/>
          <w:color w:val="000000"/>
          <w:sz w:val="20"/>
          <w:szCs w:val="20"/>
        </w:rPr>
        <w:t xml:space="preserve"> - Adjustments for weights in PSL Achievement:</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Pr>
          <w:rFonts w:ascii="Arial" w:hAnsi="Arial" w:cs="Arial"/>
          <w:color w:val="000000"/>
          <w:sz w:val="20"/>
          <w:szCs w:val="20"/>
        </w:rPr>
        <w:t>have been updated</w:t>
      </w:r>
      <w:proofErr w:type="gramEnd"/>
      <w:r>
        <w:rPr>
          <w:rFonts w:ascii="Arial" w:hAnsi="Arial" w:cs="Arial"/>
          <w:color w:val="000000"/>
          <w:sz w:val="20"/>
          <w:szCs w:val="20"/>
        </w:rPr>
        <w:t xml:space="preserve">. These lists will remain valid until FY 2026-27 and </w:t>
      </w:r>
      <w:proofErr w:type="gramStart"/>
      <w:r>
        <w:rPr>
          <w:rFonts w:ascii="Arial" w:hAnsi="Arial" w:cs="Arial"/>
          <w:color w:val="000000"/>
          <w:sz w:val="20"/>
          <w:szCs w:val="20"/>
        </w:rPr>
        <w:t>will be reviewed</w:t>
      </w:r>
      <w:proofErr w:type="gramEnd"/>
      <w:r>
        <w:rPr>
          <w:rFonts w:ascii="Arial" w:hAnsi="Arial" w:cs="Arial"/>
          <w:color w:val="000000"/>
          <w:sz w:val="20"/>
          <w:szCs w:val="20"/>
        </w:rPr>
        <w:t xml:space="preserve"> thereafter. </w:t>
      </w:r>
      <w:proofErr w:type="gramStart"/>
      <w:r>
        <w:rPr>
          <w:rFonts w:ascii="Arial" w:hAnsi="Arial" w:cs="Arial"/>
          <w:color w:val="000000"/>
          <w:sz w:val="20"/>
          <w:szCs w:val="20"/>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Pr>
          <w:rFonts w:ascii="Arial" w:hAnsi="Arial" w:cs="Arial"/>
          <w:color w:val="000000"/>
          <w:sz w:val="20"/>
          <w:szCs w:val="20"/>
        </w:rPr>
        <w:t xml:space="preserve"> Therefore, </w:t>
      </w:r>
      <w:hyperlink r:id="rId96" w:anchor="Adjustments" w:tgtFrame="_blank" w:history="1">
        <w:r>
          <w:rPr>
            <w:rStyle w:val="Hyperlink"/>
            <w:rFonts w:ascii="Arial" w:hAnsi="Arial" w:cs="Arial"/>
            <w:sz w:val="20"/>
            <w:szCs w:val="20"/>
          </w:rPr>
          <w:t xml:space="preserve">para </w:t>
        </w:r>
        <w:proofErr w:type="gramStart"/>
        <w:r>
          <w:rPr>
            <w:rStyle w:val="Hyperlink"/>
            <w:rFonts w:ascii="Arial" w:hAnsi="Arial" w:cs="Arial"/>
            <w:sz w:val="20"/>
            <w:szCs w:val="20"/>
          </w:rPr>
          <w:t>7</w:t>
        </w:r>
        <w:proofErr w:type="gramEnd"/>
        <w:r>
          <w:rPr>
            <w:rStyle w:val="Hyperlink"/>
            <w:rFonts w:ascii="Arial" w:hAnsi="Arial" w:cs="Arial"/>
            <w:sz w:val="20"/>
            <w:szCs w:val="20"/>
          </w:rPr>
          <w:t xml:space="preserve"> of the MD on PSL</w:t>
        </w:r>
      </w:hyperlink>
      <w:r>
        <w:rPr>
          <w:rFonts w:ascii="Arial" w:hAnsi="Arial" w:cs="Arial"/>
          <w:color w:val="000000"/>
          <w:sz w:val="20"/>
          <w:szCs w:val="20"/>
        </w:rPr>
        <w:t> has been updated as mentioned above.</w:t>
      </w:r>
    </w:p>
    <w:p w:rsidR="009978EF" w:rsidRDefault="009978EF" w:rsidP="009978EF">
      <w:pPr>
        <w:pStyle w:val="head"/>
        <w:jc w:val="both"/>
        <w:rPr>
          <w:rFonts w:ascii="Arial" w:hAnsi="Arial" w:cs="Arial"/>
          <w:b/>
          <w:bCs/>
          <w:color w:val="000000"/>
          <w:sz w:val="20"/>
          <w:szCs w:val="20"/>
        </w:rPr>
      </w:pPr>
      <w:r>
        <w:rPr>
          <w:rFonts w:ascii="Arial" w:hAnsi="Arial" w:cs="Arial"/>
          <w:b/>
          <w:bCs/>
          <w:color w:val="000000"/>
          <w:sz w:val="20"/>
          <w:szCs w:val="20"/>
        </w:rPr>
        <w:t xml:space="preserve">3. Para </w:t>
      </w:r>
      <w:proofErr w:type="gramStart"/>
      <w:r>
        <w:rPr>
          <w:rFonts w:ascii="Arial" w:hAnsi="Arial" w:cs="Arial"/>
          <w:b/>
          <w:bCs/>
          <w:color w:val="000000"/>
          <w:sz w:val="20"/>
          <w:szCs w:val="20"/>
        </w:rPr>
        <w:t>9</w:t>
      </w:r>
      <w:proofErr w:type="gramEnd"/>
      <w:r>
        <w:rPr>
          <w:rFonts w:ascii="Arial" w:hAnsi="Arial" w:cs="Arial"/>
          <w:b/>
          <w:bCs/>
          <w:color w:val="000000"/>
          <w:sz w:val="20"/>
          <w:szCs w:val="20"/>
        </w:rPr>
        <w:t xml:space="preserve"> - Micro, Small &amp; Medium Enterprises:</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 xml:space="preserve">The definition of MSMEs </w:t>
      </w:r>
      <w:proofErr w:type="gramStart"/>
      <w:r>
        <w:rPr>
          <w:rFonts w:ascii="Arial" w:hAnsi="Arial" w:cs="Arial"/>
          <w:color w:val="000000"/>
          <w:sz w:val="20"/>
          <w:szCs w:val="20"/>
        </w:rPr>
        <w:t>has been referenced</w:t>
      </w:r>
      <w:proofErr w:type="gramEnd"/>
      <w:r>
        <w:rPr>
          <w:rFonts w:ascii="Arial" w:hAnsi="Arial" w:cs="Arial"/>
          <w:color w:val="000000"/>
          <w:sz w:val="20"/>
          <w:szCs w:val="20"/>
        </w:rPr>
        <w:t xml:space="preserve"> to the </w:t>
      </w:r>
      <w:hyperlink r:id="rId97" w:tgtFrame="_blank" w:history="1">
        <w:r>
          <w:rPr>
            <w:rStyle w:val="Hyperlink"/>
            <w:rFonts w:ascii="Arial" w:hAnsi="Arial" w:cs="Arial"/>
            <w:sz w:val="20"/>
            <w:szCs w:val="20"/>
          </w:rPr>
          <w:t>Master Direction - Lending to Micro, Small &amp; Medium Enterprises (MSME) Sector</w:t>
        </w:r>
      </w:hyperlink>
      <w:r>
        <w:rPr>
          <w:rFonts w:ascii="Arial" w:hAnsi="Arial" w:cs="Arial"/>
          <w:color w:val="000000"/>
          <w:sz w:val="20"/>
          <w:szCs w:val="20"/>
        </w:rPr>
        <w:t>, for clarity.</w:t>
      </w:r>
    </w:p>
    <w:p w:rsidR="009978EF" w:rsidRDefault="009978EF" w:rsidP="009978EF">
      <w:pPr>
        <w:pStyle w:val="head"/>
        <w:jc w:val="both"/>
        <w:rPr>
          <w:rFonts w:ascii="Arial" w:hAnsi="Arial" w:cs="Arial"/>
          <w:b/>
          <w:bCs/>
          <w:color w:val="000000"/>
          <w:sz w:val="20"/>
          <w:szCs w:val="20"/>
        </w:rPr>
      </w:pPr>
      <w:r>
        <w:rPr>
          <w:rFonts w:ascii="Arial" w:hAnsi="Arial" w:cs="Arial"/>
          <w:b/>
          <w:bCs/>
          <w:color w:val="000000"/>
          <w:sz w:val="20"/>
          <w:szCs w:val="20"/>
        </w:rPr>
        <w:t xml:space="preserve">4. Para 27 - Monitoring of Priority Sector </w:t>
      </w:r>
      <w:proofErr w:type="gramStart"/>
      <w:r>
        <w:rPr>
          <w:rFonts w:ascii="Arial" w:hAnsi="Arial" w:cs="Arial"/>
          <w:b/>
          <w:bCs/>
          <w:color w:val="000000"/>
          <w:sz w:val="20"/>
          <w:szCs w:val="20"/>
        </w:rPr>
        <w:t>Lending</w:t>
      </w:r>
      <w:proofErr w:type="gramEnd"/>
      <w:r>
        <w:rPr>
          <w:rFonts w:ascii="Arial" w:hAnsi="Arial" w:cs="Arial"/>
          <w:b/>
          <w:bCs/>
          <w:color w:val="000000"/>
          <w:sz w:val="20"/>
          <w:szCs w:val="20"/>
        </w:rPr>
        <w:t xml:space="preserve"> targets:</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 xml:space="preserve">The MD specifies that UCBs shall furnish data on priority sector advances in the reporting formats ‘Statement I’ and ‘Statement II (Part A to D)’ at quarterly and annual intervals, to the Regional Offices of </w:t>
      </w:r>
      <w:proofErr w:type="spellStart"/>
      <w:r>
        <w:rPr>
          <w:rFonts w:ascii="Arial" w:hAnsi="Arial" w:cs="Arial"/>
          <w:color w:val="000000"/>
          <w:sz w:val="20"/>
          <w:szCs w:val="20"/>
        </w:rPr>
        <w:t>DoS</w:t>
      </w:r>
      <w:proofErr w:type="spellEnd"/>
      <w:r>
        <w:rPr>
          <w:rFonts w:ascii="Arial" w:hAnsi="Arial" w:cs="Arial"/>
          <w:color w:val="000000"/>
          <w:sz w:val="20"/>
          <w:szCs w:val="20"/>
        </w:rPr>
        <w:t>, RBI. This provision has been repealed in terms of </w:t>
      </w:r>
      <w:hyperlink r:id="rId98" w:tgtFrame="_blank" w:history="1">
        <w:r>
          <w:rPr>
            <w:rStyle w:val="Hyperlink"/>
            <w:rFonts w:ascii="Arial" w:hAnsi="Arial" w:cs="Arial"/>
            <w:sz w:val="20"/>
            <w:szCs w:val="20"/>
          </w:rPr>
          <w:t>Master Direction - Reserve Bank of India (Filing of Supervisory Returns) Directions – 2024 (MD on FSR) dated February 27, 2024</w:t>
        </w:r>
      </w:hyperlink>
      <w:r>
        <w:rPr>
          <w:rFonts w:ascii="Arial" w:hAnsi="Arial" w:cs="Arial"/>
          <w:color w:val="000000"/>
          <w:sz w:val="20"/>
          <w:szCs w:val="20"/>
        </w:rPr>
        <w:t xml:space="preserve">. The applicable return for reporting PSL data by UCBs </w:t>
      </w:r>
      <w:proofErr w:type="gramStart"/>
      <w:r>
        <w:rPr>
          <w:rFonts w:ascii="Arial" w:hAnsi="Arial" w:cs="Arial"/>
          <w:color w:val="000000"/>
          <w:sz w:val="20"/>
          <w:szCs w:val="20"/>
        </w:rPr>
        <w:t>has been prescribed</w:t>
      </w:r>
      <w:proofErr w:type="gramEnd"/>
      <w:r>
        <w:rPr>
          <w:rFonts w:ascii="Arial" w:hAnsi="Arial" w:cs="Arial"/>
          <w:color w:val="000000"/>
          <w:sz w:val="20"/>
          <w:szCs w:val="20"/>
        </w:rPr>
        <w:t xml:space="preserve"> at Sl. No. 61 of Annex III of the MD on FSR. Accordingly, para 27 of MD as applicable to UCBs has been updated.</w:t>
      </w:r>
    </w:p>
    <w:p w:rsidR="009978EF" w:rsidRDefault="009978EF" w:rsidP="009978EF">
      <w:pPr>
        <w:pStyle w:val="NoSpacing"/>
      </w:pPr>
      <w:r>
        <w:t xml:space="preserve">5. The relevant amendments made in the MD on PSL </w:t>
      </w:r>
      <w:proofErr w:type="gramStart"/>
      <w:r>
        <w:t>are detailed</w:t>
      </w:r>
      <w:proofErr w:type="gramEnd"/>
      <w:r>
        <w:t xml:space="preserve"> in the </w:t>
      </w:r>
      <w:hyperlink r:id="rId99" w:anchor="ANN" w:history="1">
        <w:r>
          <w:rPr>
            <w:rStyle w:val="Hyperlink"/>
            <w:rFonts w:ascii="Arial" w:hAnsi="Arial" w:cs="Arial"/>
            <w:sz w:val="20"/>
            <w:szCs w:val="20"/>
          </w:rPr>
          <w:t>Annex</w:t>
        </w:r>
      </w:hyperlink>
      <w:r>
        <w:t>.</w:t>
      </w:r>
    </w:p>
    <w:p w:rsidR="009978EF" w:rsidRDefault="009978EF" w:rsidP="009978EF">
      <w:pPr>
        <w:pStyle w:val="NoSpacing"/>
      </w:pPr>
      <w:r>
        <w:t>6. The </w:t>
      </w:r>
      <w:hyperlink r:id="rId100" w:tgtFrame="_blank" w:history="1">
        <w:r>
          <w:rPr>
            <w:rStyle w:val="Hyperlink"/>
            <w:rFonts w:ascii="Arial" w:hAnsi="Arial" w:cs="Arial"/>
            <w:sz w:val="20"/>
            <w:szCs w:val="20"/>
          </w:rPr>
          <w:t>Master Directions</w:t>
        </w:r>
      </w:hyperlink>
      <w:r>
        <w:t> and </w:t>
      </w:r>
      <w:hyperlink r:id="rId101" w:tgtFrame="_blank" w:history="1">
        <w:r>
          <w:rPr>
            <w:rStyle w:val="Hyperlink"/>
            <w:rFonts w:ascii="Arial" w:hAnsi="Arial" w:cs="Arial"/>
            <w:sz w:val="20"/>
            <w:szCs w:val="20"/>
          </w:rPr>
          <w:t>FAQs</w:t>
        </w:r>
      </w:hyperlink>
      <w:r>
        <w:t xml:space="preserve"> on Priority Sector Lending on the Bank’s website </w:t>
      </w:r>
      <w:proofErr w:type="gramStart"/>
      <w:r>
        <w:t>have been updated</w:t>
      </w:r>
      <w:proofErr w:type="gramEnd"/>
      <w:r>
        <w:t xml:space="preserve"> accordingly.</w:t>
      </w:r>
    </w:p>
    <w:p w:rsidR="009978EF" w:rsidRDefault="009978EF" w:rsidP="009978EF">
      <w:pPr>
        <w:pStyle w:val="NormalWeb"/>
        <w:jc w:val="both"/>
        <w:rPr>
          <w:rFonts w:ascii="Arial" w:hAnsi="Arial" w:cs="Arial"/>
          <w:color w:val="000000"/>
          <w:sz w:val="20"/>
          <w:szCs w:val="20"/>
        </w:rPr>
      </w:pPr>
      <w:r>
        <w:rPr>
          <w:rFonts w:ascii="Arial" w:hAnsi="Arial" w:cs="Arial"/>
          <w:color w:val="000000"/>
          <w:sz w:val="20"/>
          <w:szCs w:val="20"/>
        </w:rPr>
        <w:t>Yours faithfully,</w:t>
      </w:r>
    </w:p>
    <w:p w:rsidR="009978EF" w:rsidRDefault="009978EF" w:rsidP="009978E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9978EF" w:rsidRDefault="009978EF" w:rsidP="009978EF">
      <w:pPr>
        <w:pStyle w:val="NormalWeb"/>
      </w:pPr>
      <w:r w:rsidRPr="009978EF">
        <w:rPr>
          <w:rFonts w:ascii="Arial" w:hAnsi="Arial" w:cs="Arial"/>
          <w:color w:val="000000"/>
          <w:sz w:val="20"/>
          <w:szCs w:val="20"/>
        </w:rPr>
        <w:t xml:space="preserve">For more details, kindly </w:t>
      </w:r>
      <w:proofErr w:type="gramStart"/>
      <w:r w:rsidRPr="009978EF">
        <w:rPr>
          <w:rFonts w:ascii="Arial" w:hAnsi="Arial" w:cs="Arial"/>
          <w:color w:val="000000"/>
          <w:sz w:val="20"/>
          <w:szCs w:val="20"/>
        </w:rPr>
        <w:t>refer:</w:t>
      </w:r>
      <w:proofErr w:type="gramEnd"/>
      <w:r>
        <w:rPr>
          <w:rFonts w:ascii="Arial" w:hAnsi="Arial" w:cs="Arial"/>
          <w:color w:val="000000"/>
          <w:sz w:val="20"/>
          <w:szCs w:val="20"/>
        </w:rPr>
        <w:t xml:space="preserve"> </w:t>
      </w:r>
      <w:hyperlink r:id="rId102" w:history="1">
        <w:r w:rsidRPr="00332F6B">
          <w:rPr>
            <w:rStyle w:val="Hyperlink"/>
            <w:rFonts w:ascii="Arial" w:hAnsi="Arial" w:cs="Arial"/>
            <w:sz w:val="20"/>
            <w:szCs w:val="20"/>
          </w:rPr>
          <w:t>https://www.rbi.org.in/Scripts/NotificationUser.aspx?Id=12694&amp;Mode=0</w:t>
        </w:r>
      </w:hyperlink>
      <w:r>
        <w:rPr>
          <w:rFonts w:ascii="Arial" w:hAnsi="Arial" w:cs="Arial"/>
          <w:color w:val="000000"/>
          <w:sz w:val="20"/>
          <w:szCs w:val="20"/>
        </w:rPr>
        <w:t xml:space="preserve"> </w:t>
      </w:r>
      <w:bookmarkStart w:id="0" w:name="_GoBack"/>
      <w:bookmarkEnd w:id="0"/>
    </w:p>
    <w:sectPr w:rsidR="0099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078"/>
    <w:multiLevelType w:val="multilevel"/>
    <w:tmpl w:val="037CF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2D0DD6"/>
    <w:multiLevelType w:val="multilevel"/>
    <w:tmpl w:val="D8D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F7374"/>
    <w:multiLevelType w:val="multilevel"/>
    <w:tmpl w:val="D55A7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FCC03F5"/>
    <w:multiLevelType w:val="multilevel"/>
    <w:tmpl w:val="14100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1EB4E37"/>
    <w:multiLevelType w:val="multilevel"/>
    <w:tmpl w:val="C52EF2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700D7AD2"/>
    <w:multiLevelType w:val="multilevel"/>
    <w:tmpl w:val="5F2C7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6835FAA"/>
    <w:multiLevelType w:val="multilevel"/>
    <w:tmpl w:val="7764D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C8"/>
    <w:rsid w:val="000129DE"/>
    <w:rsid w:val="000D52BA"/>
    <w:rsid w:val="000F0FF7"/>
    <w:rsid w:val="001416E3"/>
    <w:rsid w:val="00236D0A"/>
    <w:rsid w:val="002A26C0"/>
    <w:rsid w:val="00310478"/>
    <w:rsid w:val="0034318F"/>
    <w:rsid w:val="003E3DE2"/>
    <w:rsid w:val="003F5D3E"/>
    <w:rsid w:val="004753C8"/>
    <w:rsid w:val="0049335A"/>
    <w:rsid w:val="004F39BA"/>
    <w:rsid w:val="00531B24"/>
    <w:rsid w:val="006B115A"/>
    <w:rsid w:val="006E7AB9"/>
    <w:rsid w:val="0071734B"/>
    <w:rsid w:val="00774E20"/>
    <w:rsid w:val="008176BF"/>
    <w:rsid w:val="00825000"/>
    <w:rsid w:val="008B7963"/>
    <w:rsid w:val="009978EF"/>
    <w:rsid w:val="00AE1869"/>
    <w:rsid w:val="00B56C6C"/>
    <w:rsid w:val="00B93FDD"/>
    <w:rsid w:val="00CD5827"/>
    <w:rsid w:val="00D327FB"/>
    <w:rsid w:val="00FF4C58"/>
    <w:rsid w:val="00FF6B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CE3F"/>
  <w15:chartTrackingRefBased/>
  <w15:docId w15:val="{0C663DA5-644A-4A5E-9EC6-3D3D2269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9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7963"/>
    <w:rPr>
      <w:b/>
      <w:bCs/>
    </w:rPr>
  </w:style>
  <w:style w:type="paragraph" w:styleId="NormalWeb">
    <w:name w:val="Normal (Web)"/>
    <w:basedOn w:val="Normal"/>
    <w:uiPriority w:val="99"/>
    <w:unhideWhenUsed/>
    <w:rsid w:val="006E7AB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6E7A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E7AB9"/>
    <w:rPr>
      <w:color w:val="0000FF"/>
      <w:u w:val="single"/>
    </w:rPr>
  </w:style>
  <w:style w:type="character" w:customStyle="1" w:styleId="head1">
    <w:name w:val="head1"/>
    <w:basedOn w:val="DefaultParagraphFont"/>
    <w:rsid w:val="006E7AB9"/>
  </w:style>
  <w:style w:type="character" w:styleId="Emphasis">
    <w:name w:val="Emphasis"/>
    <w:basedOn w:val="DefaultParagraphFont"/>
    <w:uiPriority w:val="20"/>
    <w:qFormat/>
    <w:rsid w:val="00236D0A"/>
    <w:rPr>
      <w:i/>
      <w:iCs/>
    </w:rPr>
  </w:style>
  <w:style w:type="paragraph" w:styleId="NoSpacing">
    <w:name w:val="No Spacing"/>
    <w:uiPriority w:val="1"/>
    <w:qFormat/>
    <w:rsid w:val="00997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930">
      <w:bodyDiv w:val="1"/>
      <w:marLeft w:val="0"/>
      <w:marRight w:val="0"/>
      <w:marTop w:val="0"/>
      <w:marBottom w:val="0"/>
      <w:divBdr>
        <w:top w:val="none" w:sz="0" w:space="0" w:color="auto"/>
        <w:left w:val="none" w:sz="0" w:space="0" w:color="auto"/>
        <w:bottom w:val="none" w:sz="0" w:space="0" w:color="auto"/>
        <w:right w:val="none" w:sz="0" w:space="0" w:color="auto"/>
      </w:divBdr>
    </w:div>
    <w:div w:id="67774729">
      <w:bodyDiv w:val="1"/>
      <w:marLeft w:val="0"/>
      <w:marRight w:val="0"/>
      <w:marTop w:val="0"/>
      <w:marBottom w:val="0"/>
      <w:divBdr>
        <w:top w:val="none" w:sz="0" w:space="0" w:color="auto"/>
        <w:left w:val="none" w:sz="0" w:space="0" w:color="auto"/>
        <w:bottom w:val="none" w:sz="0" w:space="0" w:color="auto"/>
        <w:right w:val="none" w:sz="0" w:space="0" w:color="auto"/>
      </w:divBdr>
    </w:div>
    <w:div w:id="115299684">
      <w:bodyDiv w:val="1"/>
      <w:marLeft w:val="0"/>
      <w:marRight w:val="0"/>
      <w:marTop w:val="0"/>
      <w:marBottom w:val="0"/>
      <w:divBdr>
        <w:top w:val="none" w:sz="0" w:space="0" w:color="auto"/>
        <w:left w:val="none" w:sz="0" w:space="0" w:color="auto"/>
        <w:bottom w:val="none" w:sz="0" w:space="0" w:color="auto"/>
        <w:right w:val="none" w:sz="0" w:space="0" w:color="auto"/>
      </w:divBdr>
    </w:div>
    <w:div w:id="163667208">
      <w:bodyDiv w:val="1"/>
      <w:marLeft w:val="0"/>
      <w:marRight w:val="0"/>
      <w:marTop w:val="0"/>
      <w:marBottom w:val="0"/>
      <w:divBdr>
        <w:top w:val="none" w:sz="0" w:space="0" w:color="auto"/>
        <w:left w:val="none" w:sz="0" w:space="0" w:color="auto"/>
        <w:bottom w:val="none" w:sz="0" w:space="0" w:color="auto"/>
        <w:right w:val="none" w:sz="0" w:space="0" w:color="auto"/>
      </w:divBdr>
    </w:div>
    <w:div w:id="256449842">
      <w:bodyDiv w:val="1"/>
      <w:marLeft w:val="0"/>
      <w:marRight w:val="0"/>
      <w:marTop w:val="0"/>
      <w:marBottom w:val="0"/>
      <w:divBdr>
        <w:top w:val="none" w:sz="0" w:space="0" w:color="auto"/>
        <w:left w:val="none" w:sz="0" w:space="0" w:color="auto"/>
        <w:bottom w:val="none" w:sz="0" w:space="0" w:color="auto"/>
        <w:right w:val="none" w:sz="0" w:space="0" w:color="auto"/>
      </w:divBdr>
    </w:div>
    <w:div w:id="273054653">
      <w:bodyDiv w:val="1"/>
      <w:marLeft w:val="0"/>
      <w:marRight w:val="0"/>
      <w:marTop w:val="0"/>
      <w:marBottom w:val="0"/>
      <w:divBdr>
        <w:top w:val="none" w:sz="0" w:space="0" w:color="auto"/>
        <w:left w:val="none" w:sz="0" w:space="0" w:color="auto"/>
        <w:bottom w:val="none" w:sz="0" w:space="0" w:color="auto"/>
        <w:right w:val="none" w:sz="0" w:space="0" w:color="auto"/>
      </w:divBdr>
    </w:div>
    <w:div w:id="343745025">
      <w:bodyDiv w:val="1"/>
      <w:marLeft w:val="0"/>
      <w:marRight w:val="0"/>
      <w:marTop w:val="0"/>
      <w:marBottom w:val="0"/>
      <w:divBdr>
        <w:top w:val="none" w:sz="0" w:space="0" w:color="auto"/>
        <w:left w:val="none" w:sz="0" w:space="0" w:color="auto"/>
        <w:bottom w:val="none" w:sz="0" w:space="0" w:color="auto"/>
        <w:right w:val="none" w:sz="0" w:space="0" w:color="auto"/>
      </w:divBdr>
    </w:div>
    <w:div w:id="366027491">
      <w:bodyDiv w:val="1"/>
      <w:marLeft w:val="0"/>
      <w:marRight w:val="0"/>
      <w:marTop w:val="0"/>
      <w:marBottom w:val="0"/>
      <w:divBdr>
        <w:top w:val="none" w:sz="0" w:space="0" w:color="auto"/>
        <w:left w:val="none" w:sz="0" w:space="0" w:color="auto"/>
        <w:bottom w:val="none" w:sz="0" w:space="0" w:color="auto"/>
        <w:right w:val="none" w:sz="0" w:space="0" w:color="auto"/>
      </w:divBdr>
    </w:div>
    <w:div w:id="371729854">
      <w:bodyDiv w:val="1"/>
      <w:marLeft w:val="0"/>
      <w:marRight w:val="0"/>
      <w:marTop w:val="0"/>
      <w:marBottom w:val="0"/>
      <w:divBdr>
        <w:top w:val="none" w:sz="0" w:space="0" w:color="auto"/>
        <w:left w:val="none" w:sz="0" w:space="0" w:color="auto"/>
        <w:bottom w:val="none" w:sz="0" w:space="0" w:color="auto"/>
        <w:right w:val="none" w:sz="0" w:space="0" w:color="auto"/>
      </w:divBdr>
    </w:div>
    <w:div w:id="385833907">
      <w:bodyDiv w:val="1"/>
      <w:marLeft w:val="0"/>
      <w:marRight w:val="0"/>
      <w:marTop w:val="0"/>
      <w:marBottom w:val="0"/>
      <w:divBdr>
        <w:top w:val="none" w:sz="0" w:space="0" w:color="auto"/>
        <w:left w:val="none" w:sz="0" w:space="0" w:color="auto"/>
        <w:bottom w:val="none" w:sz="0" w:space="0" w:color="auto"/>
        <w:right w:val="none" w:sz="0" w:space="0" w:color="auto"/>
      </w:divBdr>
    </w:div>
    <w:div w:id="404839298">
      <w:bodyDiv w:val="1"/>
      <w:marLeft w:val="0"/>
      <w:marRight w:val="0"/>
      <w:marTop w:val="0"/>
      <w:marBottom w:val="0"/>
      <w:divBdr>
        <w:top w:val="none" w:sz="0" w:space="0" w:color="auto"/>
        <w:left w:val="none" w:sz="0" w:space="0" w:color="auto"/>
        <w:bottom w:val="none" w:sz="0" w:space="0" w:color="auto"/>
        <w:right w:val="none" w:sz="0" w:space="0" w:color="auto"/>
      </w:divBdr>
    </w:div>
    <w:div w:id="448741672">
      <w:bodyDiv w:val="1"/>
      <w:marLeft w:val="0"/>
      <w:marRight w:val="0"/>
      <w:marTop w:val="0"/>
      <w:marBottom w:val="0"/>
      <w:divBdr>
        <w:top w:val="none" w:sz="0" w:space="0" w:color="auto"/>
        <w:left w:val="none" w:sz="0" w:space="0" w:color="auto"/>
        <w:bottom w:val="none" w:sz="0" w:space="0" w:color="auto"/>
        <w:right w:val="none" w:sz="0" w:space="0" w:color="auto"/>
      </w:divBdr>
    </w:div>
    <w:div w:id="495609989">
      <w:bodyDiv w:val="1"/>
      <w:marLeft w:val="0"/>
      <w:marRight w:val="0"/>
      <w:marTop w:val="0"/>
      <w:marBottom w:val="0"/>
      <w:divBdr>
        <w:top w:val="none" w:sz="0" w:space="0" w:color="auto"/>
        <w:left w:val="none" w:sz="0" w:space="0" w:color="auto"/>
        <w:bottom w:val="none" w:sz="0" w:space="0" w:color="auto"/>
        <w:right w:val="none" w:sz="0" w:space="0" w:color="auto"/>
      </w:divBdr>
    </w:div>
    <w:div w:id="568076376">
      <w:bodyDiv w:val="1"/>
      <w:marLeft w:val="0"/>
      <w:marRight w:val="0"/>
      <w:marTop w:val="0"/>
      <w:marBottom w:val="0"/>
      <w:divBdr>
        <w:top w:val="none" w:sz="0" w:space="0" w:color="auto"/>
        <w:left w:val="none" w:sz="0" w:space="0" w:color="auto"/>
        <w:bottom w:val="none" w:sz="0" w:space="0" w:color="auto"/>
        <w:right w:val="none" w:sz="0" w:space="0" w:color="auto"/>
      </w:divBdr>
    </w:div>
    <w:div w:id="575631953">
      <w:bodyDiv w:val="1"/>
      <w:marLeft w:val="0"/>
      <w:marRight w:val="0"/>
      <w:marTop w:val="0"/>
      <w:marBottom w:val="0"/>
      <w:divBdr>
        <w:top w:val="none" w:sz="0" w:space="0" w:color="auto"/>
        <w:left w:val="none" w:sz="0" w:space="0" w:color="auto"/>
        <w:bottom w:val="none" w:sz="0" w:space="0" w:color="auto"/>
        <w:right w:val="none" w:sz="0" w:space="0" w:color="auto"/>
      </w:divBdr>
    </w:div>
    <w:div w:id="657926423">
      <w:bodyDiv w:val="1"/>
      <w:marLeft w:val="0"/>
      <w:marRight w:val="0"/>
      <w:marTop w:val="0"/>
      <w:marBottom w:val="0"/>
      <w:divBdr>
        <w:top w:val="none" w:sz="0" w:space="0" w:color="auto"/>
        <w:left w:val="none" w:sz="0" w:space="0" w:color="auto"/>
        <w:bottom w:val="none" w:sz="0" w:space="0" w:color="auto"/>
        <w:right w:val="none" w:sz="0" w:space="0" w:color="auto"/>
      </w:divBdr>
    </w:div>
    <w:div w:id="671564346">
      <w:bodyDiv w:val="1"/>
      <w:marLeft w:val="0"/>
      <w:marRight w:val="0"/>
      <w:marTop w:val="0"/>
      <w:marBottom w:val="0"/>
      <w:divBdr>
        <w:top w:val="none" w:sz="0" w:space="0" w:color="auto"/>
        <w:left w:val="none" w:sz="0" w:space="0" w:color="auto"/>
        <w:bottom w:val="none" w:sz="0" w:space="0" w:color="auto"/>
        <w:right w:val="none" w:sz="0" w:space="0" w:color="auto"/>
      </w:divBdr>
    </w:div>
    <w:div w:id="729379210">
      <w:bodyDiv w:val="1"/>
      <w:marLeft w:val="0"/>
      <w:marRight w:val="0"/>
      <w:marTop w:val="0"/>
      <w:marBottom w:val="0"/>
      <w:divBdr>
        <w:top w:val="none" w:sz="0" w:space="0" w:color="auto"/>
        <w:left w:val="none" w:sz="0" w:space="0" w:color="auto"/>
        <w:bottom w:val="none" w:sz="0" w:space="0" w:color="auto"/>
        <w:right w:val="none" w:sz="0" w:space="0" w:color="auto"/>
      </w:divBdr>
    </w:div>
    <w:div w:id="850532446">
      <w:bodyDiv w:val="1"/>
      <w:marLeft w:val="0"/>
      <w:marRight w:val="0"/>
      <w:marTop w:val="0"/>
      <w:marBottom w:val="0"/>
      <w:divBdr>
        <w:top w:val="none" w:sz="0" w:space="0" w:color="auto"/>
        <w:left w:val="none" w:sz="0" w:space="0" w:color="auto"/>
        <w:bottom w:val="none" w:sz="0" w:space="0" w:color="auto"/>
        <w:right w:val="none" w:sz="0" w:space="0" w:color="auto"/>
      </w:divBdr>
    </w:div>
    <w:div w:id="856894223">
      <w:bodyDiv w:val="1"/>
      <w:marLeft w:val="0"/>
      <w:marRight w:val="0"/>
      <w:marTop w:val="0"/>
      <w:marBottom w:val="0"/>
      <w:divBdr>
        <w:top w:val="none" w:sz="0" w:space="0" w:color="auto"/>
        <w:left w:val="none" w:sz="0" w:space="0" w:color="auto"/>
        <w:bottom w:val="none" w:sz="0" w:space="0" w:color="auto"/>
        <w:right w:val="none" w:sz="0" w:space="0" w:color="auto"/>
      </w:divBdr>
    </w:div>
    <w:div w:id="869876700">
      <w:bodyDiv w:val="1"/>
      <w:marLeft w:val="0"/>
      <w:marRight w:val="0"/>
      <w:marTop w:val="0"/>
      <w:marBottom w:val="0"/>
      <w:divBdr>
        <w:top w:val="none" w:sz="0" w:space="0" w:color="auto"/>
        <w:left w:val="none" w:sz="0" w:space="0" w:color="auto"/>
        <w:bottom w:val="none" w:sz="0" w:space="0" w:color="auto"/>
        <w:right w:val="none" w:sz="0" w:space="0" w:color="auto"/>
      </w:divBdr>
    </w:div>
    <w:div w:id="889534645">
      <w:bodyDiv w:val="1"/>
      <w:marLeft w:val="0"/>
      <w:marRight w:val="0"/>
      <w:marTop w:val="0"/>
      <w:marBottom w:val="0"/>
      <w:divBdr>
        <w:top w:val="none" w:sz="0" w:space="0" w:color="auto"/>
        <w:left w:val="none" w:sz="0" w:space="0" w:color="auto"/>
        <w:bottom w:val="none" w:sz="0" w:space="0" w:color="auto"/>
        <w:right w:val="none" w:sz="0" w:space="0" w:color="auto"/>
      </w:divBdr>
    </w:div>
    <w:div w:id="1009600761">
      <w:bodyDiv w:val="1"/>
      <w:marLeft w:val="0"/>
      <w:marRight w:val="0"/>
      <w:marTop w:val="0"/>
      <w:marBottom w:val="0"/>
      <w:divBdr>
        <w:top w:val="none" w:sz="0" w:space="0" w:color="auto"/>
        <w:left w:val="none" w:sz="0" w:space="0" w:color="auto"/>
        <w:bottom w:val="none" w:sz="0" w:space="0" w:color="auto"/>
        <w:right w:val="none" w:sz="0" w:space="0" w:color="auto"/>
      </w:divBdr>
    </w:div>
    <w:div w:id="1044060742">
      <w:bodyDiv w:val="1"/>
      <w:marLeft w:val="0"/>
      <w:marRight w:val="0"/>
      <w:marTop w:val="0"/>
      <w:marBottom w:val="0"/>
      <w:divBdr>
        <w:top w:val="none" w:sz="0" w:space="0" w:color="auto"/>
        <w:left w:val="none" w:sz="0" w:space="0" w:color="auto"/>
        <w:bottom w:val="none" w:sz="0" w:space="0" w:color="auto"/>
        <w:right w:val="none" w:sz="0" w:space="0" w:color="auto"/>
      </w:divBdr>
    </w:div>
    <w:div w:id="1264341161">
      <w:bodyDiv w:val="1"/>
      <w:marLeft w:val="0"/>
      <w:marRight w:val="0"/>
      <w:marTop w:val="0"/>
      <w:marBottom w:val="0"/>
      <w:divBdr>
        <w:top w:val="none" w:sz="0" w:space="0" w:color="auto"/>
        <w:left w:val="none" w:sz="0" w:space="0" w:color="auto"/>
        <w:bottom w:val="none" w:sz="0" w:space="0" w:color="auto"/>
        <w:right w:val="none" w:sz="0" w:space="0" w:color="auto"/>
      </w:divBdr>
    </w:div>
    <w:div w:id="1336761325">
      <w:bodyDiv w:val="1"/>
      <w:marLeft w:val="0"/>
      <w:marRight w:val="0"/>
      <w:marTop w:val="0"/>
      <w:marBottom w:val="0"/>
      <w:divBdr>
        <w:top w:val="none" w:sz="0" w:space="0" w:color="auto"/>
        <w:left w:val="none" w:sz="0" w:space="0" w:color="auto"/>
        <w:bottom w:val="none" w:sz="0" w:space="0" w:color="auto"/>
        <w:right w:val="none" w:sz="0" w:space="0" w:color="auto"/>
      </w:divBdr>
    </w:div>
    <w:div w:id="1341465275">
      <w:bodyDiv w:val="1"/>
      <w:marLeft w:val="0"/>
      <w:marRight w:val="0"/>
      <w:marTop w:val="0"/>
      <w:marBottom w:val="0"/>
      <w:divBdr>
        <w:top w:val="none" w:sz="0" w:space="0" w:color="auto"/>
        <w:left w:val="none" w:sz="0" w:space="0" w:color="auto"/>
        <w:bottom w:val="none" w:sz="0" w:space="0" w:color="auto"/>
        <w:right w:val="none" w:sz="0" w:space="0" w:color="auto"/>
      </w:divBdr>
    </w:div>
    <w:div w:id="1369985650">
      <w:bodyDiv w:val="1"/>
      <w:marLeft w:val="0"/>
      <w:marRight w:val="0"/>
      <w:marTop w:val="0"/>
      <w:marBottom w:val="0"/>
      <w:divBdr>
        <w:top w:val="none" w:sz="0" w:space="0" w:color="auto"/>
        <w:left w:val="none" w:sz="0" w:space="0" w:color="auto"/>
        <w:bottom w:val="none" w:sz="0" w:space="0" w:color="auto"/>
        <w:right w:val="none" w:sz="0" w:space="0" w:color="auto"/>
      </w:divBdr>
    </w:div>
    <w:div w:id="1412510640">
      <w:bodyDiv w:val="1"/>
      <w:marLeft w:val="0"/>
      <w:marRight w:val="0"/>
      <w:marTop w:val="0"/>
      <w:marBottom w:val="0"/>
      <w:divBdr>
        <w:top w:val="none" w:sz="0" w:space="0" w:color="auto"/>
        <w:left w:val="none" w:sz="0" w:space="0" w:color="auto"/>
        <w:bottom w:val="none" w:sz="0" w:space="0" w:color="auto"/>
        <w:right w:val="none" w:sz="0" w:space="0" w:color="auto"/>
      </w:divBdr>
    </w:div>
    <w:div w:id="1413501818">
      <w:bodyDiv w:val="1"/>
      <w:marLeft w:val="0"/>
      <w:marRight w:val="0"/>
      <w:marTop w:val="0"/>
      <w:marBottom w:val="0"/>
      <w:divBdr>
        <w:top w:val="none" w:sz="0" w:space="0" w:color="auto"/>
        <w:left w:val="none" w:sz="0" w:space="0" w:color="auto"/>
        <w:bottom w:val="none" w:sz="0" w:space="0" w:color="auto"/>
        <w:right w:val="none" w:sz="0" w:space="0" w:color="auto"/>
      </w:divBdr>
    </w:div>
    <w:div w:id="1476293683">
      <w:bodyDiv w:val="1"/>
      <w:marLeft w:val="0"/>
      <w:marRight w:val="0"/>
      <w:marTop w:val="0"/>
      <w:marBottom w:val="0"/>
      <w:divBdr>
        <w:top w:val="none" w:sz="0" w:space="0" w:color="auto"/>
        <w:left w:val="none" w:sz="0" w:space="0" w:color="auto"/>
        <w:bottom w:val="none" w:sz="0" w:space="0" w:color="auto"/>
        <w:right w:val="none" w:sz="0" w:space="0" w:color="auto"/>
      </w:divBdr>
    </w:div>
    <w:div w:id="1523594788">
      <w:bodyDiv w:val="1"/>
      <w:marLeft w:val="0"/>
      <w:marRight w:val="0"/>
      <w:marTop w:val="0"/>
      <w:marBottom w:val="0"/>
      <w:divBdr>
        <w:top w:val="none" w:sz="0" w:space="0" w:color="auto"/>
        <w:left w:val="none" w:sz="0" w:space="0" w:color="auto"/>
        <w:bottom w:val="none" w:sz="0" w:space="0" w:color="auto"/>
        <w:right w:val="none" w:sz="0" w:space="0" w:color="auto"/>
      </w:divBdr>
    </w:div>
    <w:div w:id="1553927103">
      <w:bodyDiv w:val="1"/>
      <w:marLeft w:val="0"/>
      <w:marRight w:val="0"/>
      <w:marTop w:val="0"/>
      <w:marBottom w:val="0"/>
      <w:divBdr>
        <w:top w:val="none" w:sz="0" w:space="0" w:color="auto"/>
        <w:left w:val="none" w:sz="0" w:space="0" w:color="auto"/>
        <w:bottom w:val="none" w:sz="0" w:space="0" w:color="auto"/>
        <w:right w:val="none" w:sz="0" w:space="0" w:color="auto"/>
      </w:divBdr>
    </w:div>
    <w:div w:id="1630472256">
      <w:bodyDiv w:val="1"/>
      <w:marLeft w:val="0"/>
      <w:marRight w:val="0"/>
      <w:marTop w:val="0"/>
      <w:marBottom w:val="0"/>
      <w:divBdr>
        <w:top w:val="none" w:sz="0" w:space="0" w:color="auto"/>
        <w:left w:val="none" w:sz="0" w:space="0" w:color="auto"/>
        <w:bottom w:val="none" w:sz="0" w:space="0" w:color="auto"/>
        <w:right w:val="none" w:sz="0" w:space="0" w:color="auto"/>
      </w:divBdr>
    </w:div>
    <w:div w:id="1641378050">
      <w:bodyDiv w:val="1"/>
      <w:marLeft w:val="0"/>
      <w:marRight w:val="0"/>
      <w:marTop w:val="0"/>
      <w:marBottom w:val="0"/>
      <w:divBdr>
        <w:top w:val="none" w:sz="0" w:space="0" w:color="auto"/>
        <w:left w:val="none" w:sz="0" w:space="0" w:color="auto"/>
        <w:bottom w:val="none" w:sz="0" w:space="0" w:color="auto"/>
        <w:right w:val="none" w:sz="0" w:space="0" w:color="auto"/>
      </w:divBdr>
    </w:div>
    <w:div w:id="1651329981">
      <w:bodyDiv w:val="1"/>
      <w:marLeft w:val="0"/>
      <w:marRight w:val="0"/>
      <w:marTop w:val="0"/>
      <w:marBottom w:val="0"/>
      <w:divBdr>
        <w:top w:val="none" w:sz="0" w:space="0" w:color="auto"/>
        <w:left w:val="none" w:sz="0" w:space="0" w:color="auto"/>
        <w:bottom w:val="none" w:sz="0" w:space="0" w:color="auto"/>
        <w:right w:val="none" w:sz="0" w:space="0" w:color="auto"/>
      </w:divBdr>
    </w:div>
    <w:div w:id="1657341079">
      <w:bodyDiv w:val="1"/>
      <w:marLeft w:val="0"/>
      <w:marRight w:val="0"/>
      <w:marTop w:val="0"/>
      <w:marBottom w:val="0"/>
      <w:divBdr>
        <w:top w:val="none" w:sz="0" w:space="0" w:color="auto"/>
        <w:left w:val="none" w:sz="0" w:space="0" w:color="auto"/>
        <w:bottom w:val="none" w:sz="0" w:space="0" w:color="auto"/>
        <w:right w:val="none" w:sz="0" w:space="0" w:color="auto"/>
      </w:divBdr>
    </w:div>
    <w:div w:id="1662467753">
      <w:bodyDiv w:val="1"/>
      <w:marLeft w:val="0"/>
      <w:marRight w:val="0"/>
      <w:marTop w:val="0"/>
      <w:marBottom w:val="0"/>
      <w:divBdr>
        <w:top w:val="none" w:sz="0" w:space="0" w:color="auto"/>
        <w:left w:val="none" w:sz="0" w:space="0" w:color="auto"/>
        <w:bottom w:val="none" w:sz="0" w:space="0" w:color="auto"/>
        <w:right w:val="none" w:sz="0" w:space="0" w:color="auto"/>
      </w:divBdr>
    </w:div>
    <w:div w:id="1770808315">
      <w:bodyDiv w:val="1"/>
      <w:marLeft w:val="0"/>
      <w:marRight w:val="0"/>
      <w:marTop w:val="0"/>
      <w:marBottom w:val="0"/>
      <w:divBdr>
        <w:top w:val="none" w:sz="0" w:space="0" w:color="auto"/>
        <w:left w:val="none" w:sz="0" w:space="0" w:color="auto"/>
        <w:bottom w:val="none" w:sz="0" w:space="0" w:color="auto"/>
        <w:right w:val="none" w:sz="0" w:space="0" w:color="auto"/>
      </w:divBdr>
    </w:div>
    <w:div w:id="1788113493">
      <w:bodyDiv w:val="1"/>
      <w:marLeft w:val="0"/>
      <w:marRight w:val="0"/>
      <w:marTop w:val="0"/>
      <w:marBottom w:val="0"/>
      <w:divBdr>
        <w:top w:val="none" w:sz="0" w:space="0" w:color="auto"/>
        <w:left w:val="none" w:sz="0" w:space="0" w:color="auto"/>
        <w:bottom w:val="none" w:sz="0" w:space="0" w:color="auto"/>
        <w:right w:val="none" w:sz="0" w:space="0" w:color="auto"/>
      </w:divBdr>
    </w:div>
    <w:div w:id="1861702237">
      <w:bodyDiv w:val="1"/>
      <w:marLeft w:val="0"/>
      <w:marRight w:val="0"/>
      <w:marTop w:val="0"/>
      <w:marBottom w:val="0"/>
      <w:divBdr>
        <w:top w:val="none" w:sz="0" w:space="0" w:color="auto"/>
        <w:left w:val="none" w:sz="0" w:space="0" w:color="auto"/>
        <w:bottom w:val="none" w:sz="0" w:space="0" w:color="auto"/>
        <w:right w:val="none" w:sz="0" w:space="0" w:color="auto"/>
      </w:divBdr>
    </w:div>
    <w:div w:id="1926381656">
      <w:bodyDiv w:val="1"/>
      <w:marLeft w:val="0"/>
      <w:marRight w:val="0"/>
      <w:marTop w:val="0"/>
      <w:marBottom w:val="0"/>
      <w:divBdr>
        <w:top w:val="none" w:sz="0" w:space="0" w:color="auto"/>
        <w:left w:val="none" w:sz="0" w:space="0" w:color="auto"/>
        <w:bottom w:val="none" w:sz="0" w:space="0" w:color="auto"/>
        <w:right w:val="none" w:sz="0" w:space="0" w:color="auto"/>
      </w:divBdr>
    </w:div>
    <w:div w:id="1930039323">
      <w:bodyDiv w:val="1"/>
      <w:marLeft w:val="0"/>
      <w:marRight w:val="0"/>
      <w:marTop w:val="0"/>
      <w:marBottom w:val="0"/>
      <w:divBdr>
        <w:top w:val="none" w:sz="0" w:space="0" w:color="auto"/>
        <w:left w:val="none" w:sz="0" w:space="0" w:color="auto"/>
        <w:bottom w:val="none" w:sz="0" w:space="0" w:color="auto"/>
        <w:right w:val="none" w:sz="0" w:space="0" w:color="auto"/>
      </w:divBdr>
    </w:div>
    <w:div w:id="1968511586">
      <w:bodyDiv w:val="1"/>
      <w:marLeft w:val="0"/>
      <w:marRight w:val="0"/>
      <w:marTop w:val="0"/>
      <w:marBottom w:val="0"/>
      <w:divBdr>
        <w:top w:val="none" w:sz="0" w:space="0" w:color="auto"/>
        <w:left w:val="none" w:sz="0" w:space="0" w:color="auto"/>
        <w:bottom w:val="none" w:sz="0" w:space="0" w:color="auto"/>
        <w:right w:val="none" w:sz="0" w:space="0" w:color="auto"/>
      </w:divBdr>
    </w:div>
    <w:div w:id="1980838202">
      <w:bodyDiv w:val="1"/>
      <w:marLeft w:val="0"/>
      <w:marRight w:val="0"/>
      <w:marTop w:val="0"/>
      <w:marBottom w:val="0"/>
      <w:divBdr>
        <w:top w:val="none" w:sz="0" w:space="0" w:color="auto"/>
        <w:left w:val="none" w:sz="0" w:space="0" w:color="auto"/>
        <w:bottom w:val="none" w:sz="0" w:space="0" w:color="auto"/>
        <w:right w:val="none" w:sz="0" w:space="0" w:color="auto"/>
      </w:divBdr>
    </w:div>
    <w:div w:id="1997373269">
      <w:bodyDiv w:val="1"/>
      <w:marLeft w:val="0"/>
      <w:marRight w:val="0"/>
      <w:marTop w:val="0"/>
      <w:marBottom w:val="0"/>
      <w:divBdr>
        <w:top w:val="none" w:sz="0" w:space="0" w:color="auto"/>
        <w:left w:val="none" w:sz="0" w:space="0" w:color="auto"/>
        <w:bottom w:val="none" w:sz="0" w:space="0" w:color="auto"/>
        <w:right w:val="none" w:sz="0" w:space="0" w:color="auto"/>
      </w:divBdr>
    </w:div>
    <w:div w:id="2116052339">
      <w:bodyDiv w:val="1"/>
      <w:marLeft w:val="0"/>
      <w:marRight w:val="0"/>
      <w:marTop w:val="0"/>
      <w:marBottom w:val="0"/>
      <w:divBdr>
        <w:top w:val="none" w:sz="0" w:space="0" w:color="auto"/>
        <w:left w:val="none" w:sz="0" w:space="0" w:color="auto"/>
        <w:bottom w:val="none" w:sz="0" w:space="0" w:color="auto"/>
        <w:right w:val="none" w:sz="0" w:space="0" w:color="auto"/>
      </w:divBdr>
    </w:div>
    <w:div w:id="21393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PressReleaseDisplay.aspx?prid=55815" TargetMode="External"/><Relationship Id="rId21" Type="http://schemas.openxmlformats.org/officeDocument/2006/relationships/hyperlink" Target="https://rbidocs.rbi.org.in/rdocs/content/pdfs/110MD27022024_A4.pdf" TargetMode="External"/><Relationship Id="rId42" Type="http://schemas.openxmlformats.org/officeDocument/2006/relationships/hyperlink" Target="https://www.rbi.org.in/Scripts/BS_ViewMasCirculardetails.aspx?id=12477" TargetMode="External"/><Relationship Id="rId47" Type="http://schemas.openxmlformats.org/officeDocument/2006/relationships/hyperlink" Target="https://www.rbi.org.in/Scripts/NotificationUser.aspx?Id=12651&amp;Mode=0" TargetMode="External"/><Relationship Id="rId63" Type="http://schemas.openxmlformats.org/officeDocument/2006/relationships/hyperlink" Target="https://www.rbi.org.in/Scripts/NotificationUser.aspx?Id=9508&amp;Mode=0" TargetMode="External"/><Relationship Id="rId68" Type="http://schemas.openxmlformats.org/officeDocument/2006/relationships/hyperlink" Target="https://rbidocs.rbi.org.in/rdocs/content/pdfs/CIRCULARKFS1504242_A.pdf" TargetMode="External"/><Relationship Id="rId84" Type="http://schemas.openxmlformats.org/officeDocument/2006/relationships/hyperlink" Target="https://www.rbi.org.in/Scripts/NotificationUser.aspx?Id=10636&amp;Mode=0" TargetMode="External"/><Relationship Id="rId89" Type="http://schemas.openxmlformats.org/officeDocument/2006/relationships/hyperlink" Target="https://www.rbi.org.in/scripts/FS_Notification.aspx?Id=12439&amp;fn=2&amp;Mode=0" TargetMode="External"/><Relationship Id="rId7" Type="http://schemas.openxmlformats.org/officeDocument/2006/relationships/hyperlink" Target="https://www.rbi.org.in/Scripts/BS_ViewMasDirections.aspx?id=11566" TargetMode="External"/><Relationship Id="rId71" Type="http://schemas.openxmlformats.org/officeDocument/2006/relationships/hyperlink" Target="https://rbidocs.rbi.org.in/rdocs/content/pdfs/CIRCULARKFS1504242_C.pdf" TargetMode="External"/><Relationship Id="rId92" Type="http://schemas.openxmlformats.org/officeDocument/2006/relationships/hyperlink" Target="https://www.rbi.org.in/Scripts/BS_ViewMasDirections.aspx?id=10296" TargetMode="External"/><Relationship Id="rId2" Type="http://schemas.openxmlformats.org/officeDocument/2006/relationships/styles" Target="styles.xml"/><Relationship Id="rId16" Type="http://schemas.openxmlformats.org/officeDocument/2006/relationships/hyperlink" Target="https://www.rbi.org.in/Scripts/NotificationUser.aspx?Id=12610&amp;Mode=0" TargetMode="External"/><Relationship Id="rId29" Type="http://schemas.openxmlformats.org/officeDocument/2006/relationships/hyperlink" Target="https://www.rbi.org.in/Scripts/BS_ViewMasDirections.aspx?id=12300" TargetMode="External"/><Relationship Id="rId11" Type="http://schemas.openxmlformats.org/officeDocument/2006/relationships/hyperlink" Target="https://www.rbi.org.in/Scripts/NotificationUser.aspx?Id=9749&amp;Mode=0" TargetMode="External"/><Relationship Id="rId24" Type="http://schemas.openxmlformats.org/officeDocument/2006/relationships/hyperlink" Target="https://www.rbi.org.in/Scripts/NotificationUser.aspx?Id=12613&amp;Mode=0" TargetMode="External"/><Relationship Id="rId32" Type="http://schemas.openxmlformats.org/officeDocument/2006/relationships/hyperlink" Target="https://www.rbi.org.in/Scripts/FAQDisplay.aspx" TargetMode="External"/><Relationship Id="rId37" Type="http://schemas.openxmlformats.org/officeDocument/2006/relationships/hyperlink" Target="https://www.rbi.org.in/Scripts/NotificationUser.aspx?Id=12645&amp;Mode=0" TargetMode="External"/><Relationship Id="rId40" Type="http://schemas.openxmlformats.org/officeDocument/2006/relationships/hyperlink" Target="https://www.rbi.org.in/Scripts/NotificationUser.aspx?Id=12648&amp;Mode=0" TargetMode="External"/><Relationship Id="rId45" Type="http://schemas.openxmlformats.org/officeDocument/2006/relationships/hyperlink" Target="https://www.rbi.org.in/Scripts/NotificationUser.aspx?Id=12650&amp;Mode=0" TargetMode="External"/><Relationship Id="rId53" Type="http://schemas.openxmlformats.org/officeDocument/2006/relationships/hyperlink" Target="https://www.rbi.org.in/Scripts/NotificationUser.aspx?Id=12657&amp;Mode=0" TargetMode="External"/><Relationship Id="rId58" Type="http://schemas.openxmlformats.org/officeDocument/2006/relationships/hyperlink" Target="https://www.rbi.org.in/Scripts/BS_ViewMasDirections.aspx?id=12427" TargetMode="External"/><Relationship Id="rId66" Type="http://schemas.openxmlformats.org/officeDocument/2006/relationships/hyperlink" Target="https://www.rbi.org.in/Scripts/BS_PressReleaseDisplay.aspx?prid=57276" TargetMode="External"/><Relationship Id="rId74" Type="http://schemas.openxmlformats.org/officeDocument/2006/relationships/hyperlink" Target="https://www.rbi.org.in/Scripts/NotificationUser.aspx?Id=9508&amp;Mode=0" TargetMode="External"/><Relationship Id="rId79" Type="http://schemas.openxmlformats.org/officeDocument/2006/relationships/hyperlink" Target="https://www.rbi.org.in/Scripts/NotificationUser.aspx?Id=12664&amp;Mode=0" TargetMode="External"/><Relationship Id="rId87" Type="http://schemas.openxmlformats.org/officeDocument/2006/relationships/hyperlink" Target="https://www.rbi.org.in/scripts/bs_viewcontent.aspx?Id=3797" TargetMode="External"/><Relationship Id="rId102" Type="http://schemas.openxmlformats.org/officeDocument/2006/relationships/hyperlink" Target="https://www.rbi.org.in/Scripts/NotificationUser.aspx?Id=12694&amp;Mode=0" TargetMode="External"/><Relationship Id="rId5" Type="http://schemas.openxmlformats.org/officeDocument/2006/relationships/hyperlink" Target="https://www.rbi.org.in/Scripts/NotificationUser.aspx?Id=12589&amp;Mode=0" TargetMode="External"/><Relationship Id="rId61" Type="http://schemas.openxmlformats.org/officeDocument/2006/relationships/hyperlink" Target="https://www.rbi.org.in/Scripts/BS_ViewMasDirections.aspx?id=12427" TargetMode="External"/><Relationship Id="rId82" Type="http://schemas.openxmlformats.org/officeDocument/2006/relationships/hyperlink" Target="https://www.rbi.org.in/Scripts/BS_PressReleaseDisplay.aspx?prid=57639" TargetMode="External"/><Relationship Id="rId90" Type="http://schemas.openxmlformats.org/officeDocument/2006/relationships/hyperlink" Target="https://www.rbi.org.in/Scripts/NotificationUser.aspx?Id=12676&amp;Mode=0" TargetMode="External"/><Relationship Id="rId95" Type="http://schemas.openxmlformats.org/officeDocument/2006/relationships/hyperlink" Target="https://www.rbi.org.in/Scripts/BS_ViewMasDirections.aspx?id=11959" TargetMode="External"/><Relationship Id="rId19" Type="http://schemas.openxmlformats.org/officeDocument/2006/relationships/hyperlink" Target="https://rbidocs.rbi.org.in/rdocs/content/pdfs/110MD27022024_A2.pdf" TargetMode="External"/><Relationship Id="rId14" Type="http://schemas.openxmlformats.org/officeDocument/2006/relationships/hyperlink" Target="https://rbi.org.in/Scripts/NotificationUser.aspx?Id=12327&amp;Mode=0" TargetMode="External"/><Relationship Id="rId22" Type="http://schemas.openxmlformats.org/officeDocument/2006/relationships/hyperlink" Target="https://rbidocs.rbi.org.in/rdocs/content/pdfs/110MD27022024_A5.pdf" TargetMode="External"/><Relationship Id="rId27" Type="http://schemas.openxmlformats.org/officeDocument/2006/relationships/hyperlink" Target="https://www.rbi.org.in/Scripts/NotificationUser.aspx?Id=12616&amp;Mode=0" TargetMode="External"/><Relationship Id="rId30" Type="http://schemas.openxmlformats.org/officeDocument/2006/relationships/hyperlink" Target="https://www.rbi.org.in/Scripts/NotificationUser.aspx?Id=12620&amp;Mode=0" TargetMode="External"/><Relationship Id="rId35" Type="http://schemas.openxmlformats.org/officeDocument/2006/relationships/hyperlink" Target="https://www.rbi.org.in/Scripts/NotificationUser.aspx?Id=12639&amp;Mode=0" TargetMode="External"/><Relationship Id="rId43" Type="http://schemas.openxmlformats.org/officeDocument/2006/relationships/hyperlink" Target="https://www.rbi.org.in/Scripts/NotificationUser.aspx?Id=12650&amp;Mode=0" TargetMode="External"/><Relationship Id="rId48" Type="http://schemas.openxmlformats.org/officeDocument/2006/relationships/hyperlink" Target="https://mastercirculars.rbi.org.in/" TargetMode="External"/><Relationship Id="rId56" Type="http://schemas.openxmlformats.org/officeDocument/2006/relationships/hyperlink" Target="https://www.rbi.org.in/Scripts/BS_PressReleaseDisplay.aspx?prid=57276" TargetMode="External"/><Relationship Id="rId64" Type="http://schemas.openxmlformats.org/officeDocument/2006/relationships/hyperlink" Target="https://www.rbi.org.in/Scripts/BS_ViewMasDirections.aspx?id=12256" TargetMode="External"/><Relationship Id="rId69" Type="http://schemas.openxmlformats.org/officeDocument/2006/relationships/hyperlink" Target="https://www.rbi.org.in/Scripts/NotificationUser.aspx?Id=12663&amp;Mode=0" TargetMode="External"/><Relationship Id="rId77" Type="http://schemas.openxmlformats.org/officeDocument/2006/relationships/hyperlink" Target="https://www.rbi.org.in/Scripts/NotificationUser.aspx?Id=12382&amp;Mode=0" TargetMode="External"/><Relationship Id="rId100" Type="http://schemas.openxmlformats.org/officeDocument/2006/relationships/hyperlink" Target="https://www.rbi.org.in/Scripts/BS_ViewMasDirections.aspx?id=11959" TargetMode="External"/><Relationship Id="rId8" Type="http://schemas.openxmlformats.org/officeDocument/2006/relationships/hyperlink" Target="https://www.rbi.org.in/Scripts/BS_ViewMasDirections.aspx?id=11566" TargetMode="External"/><Relationship Id="rId51" Type="http://schemas.openxmlformats.org/officeDocument/2006/relationships/hyperlink" Target="https://www.rbi.org.in/Scripts/NotificationUser.aspx?Id=12653&amp;Mode=0" TargetMode="External"/><Relationship Id="rId72" Type="http://schemas.openxmlformats.org/officeDocument/2006/relationships/hyperlink" Target="https://www.rbi.org.in/Scripts/NotificationUser.aspx?Id=12382&amp;Mode=0" TargetMode="External"/><Relationship Id="rId80" Type="http://schemas.openxmlformats.org/officeDocument/2006/relationships/hyperlink" Target="https://www.rbi.org.in/Scripts/NotificationUser.aspx?Id=12664&amp;Mode=0" TargetMode="External"/><Relationship Id="rId85" Type="http://schemas.openxmlformats.org/officeDocument/2006/relationships/hyperlink" Target="https://www.rbi.org.in/Scripts/BS_PressReleaseDisplay.aspx?prid=47412" TargetMode="External"/><Relationship Id="rId93" Type="http://schemas.openxmlformats.org/officeDocument/2006/relationships/hyperlink" Target="https://www.rbi.org.in/Scripts/NotificationUser.aspx?Id=12690&amp;Mode=0" TargetMode="External"/><Relationship Id="rId98" Type="http://schemas.openxmlformats.org/officeDocument/2006/relationships/hyperlink" Target="https://rbi.org.in/Scripts/BS_ViewMasDirections.aspx?id=12613" TargetMode="External"/><Relationship Id="rId3" Type="http://schemas.openxmlformats.org/officeDocument/2006/relationships/settings" Target="settings.xml"/><Relationship Id="rId12" Type="http://schemas.openxmlformats.org/officeDocument/2006/relationships/hyperlink" Target="https://www.rbi.org.in/Scripts/NotificationUser.aspx?Id=12607&amp;Mode=0" TargetMode="External"/><Relationship Id="rId17" Type="http://schemas.openxmlformats.org/officeDocument/2006/relationships/hyperlink" Target="https://rbi.org.in/Scripts/BS_PressReleaseDisplay.aspx?prid=56174" TargetMode="External"/><Relationship Id="rId25" Type="http://schemas.openxmlformats.org/officeDocument/2006/relationships/hyperlink" Target="https://www.rbi.org.in/Scripts/NotificationUser.aspx?Id=9368&amp;Mode=0" TargetMode="External"/><Relationship Id="rId33" Type="http://schemas.openxmlformats.org/officeDocument/2006/relationships/hyperlink" Target="https://www.rbi.org.in/Scripts/NotificationUser.aspx?Id=12620&amp;Mode=0" TargetMode="External"/><Relationship Id="rId38" Type="http://schemas.openxmlformats.org/officeDocument/2006/relationships/hyperlink" Target="https://www.rbi.org.in/Scripts/NotificationUser.aspx?Id=12646&amp;Mode=0" TargetMode="External"/><Relationship Id="rId46" Type="http://schemas.openxmlformats.org/officeDocument/2006/relationships/hyperlink" Target="https://www.rbi.org.in/Scripts/BS_ViewMasCirculardetails.aspx?id=12474" TargetMode="External"/><Relationship Id="rId59" Type="http://schemas.openxmlformats.org/officeDocument/2006/relationships/hyperlink" Target="https://www.rbi.org.in/Scripts/NotificationUser.aspx?Id=12423&amp;Mode=0" TargetMode="External"/><Relationship Id="rId67" Type="http://schemas.openxmlformats.org/officeDocument/2006/relationships/hyperlink" Target="https://www.rbi.org.in/Scripts/BS_ViewMasDirections.aspx?id=10295" TargetMode="External"/><Relationship Id="rId103" Type="http://schemas.openxmlformats.org/officeDocument/2006/relationships/fontTable" Target="fontTable.xml"/><Relationship Id="rId20" Type="http://schemas.openxmlformats.org/officeDocument/2006/relationships/hyperlink" Target="https://rbidocs.rbi.org.in/rdocs/content/pdfs/110MD27022024_A3.pdf" TargetMode="External"/><Relationship Id="rId41" Type="http://schemas.openxmlformats.org/officeDocument/2006/relationships/hyperlink" Target="https://www.rbi.org.in/Scripts/NotificationUser.aspx?Id=12648&amp;Mode=0" TargetMode="External"/><Relationship Id="rId54" Type="http://schemas.openxmlformats.org/officeDocument/2006/relationships/hyperlink" Target="https://www.rbi.org.in/Scripts/NotificationUser.aspx?Id=12657&amp;Mode=0" TargetMode="External"/><Relationship Id="rId62" Type="http://schemas.openxmlformats.org/officeDocument/2006/relationships/hyperlink" Target="https://www.rbi.org.in/Scripts/NotificationUser.aspx?Id=12662&amp;Mode=0" TargetMode="External"/><Relationship Id="rId70" Type="http://schemas.openxmlformats.org/officeDocument/2006/relationships/hyperlink" Target="https://rbidocs.rbi.org.in/rdocs/content/pdfs/CIRCULARKFS1504242_B.pdf" TargetMode="External"/><Relationship Id="rId75" Type="http://schemas.openxmlformats.org/officeDocument/2006/relationships/hyperlink" Target="https://www.rbi.org.in/Scripts/NotificationUser.aspx?Id=9508&amp;Mode=0" TargetMode="External"/><Relationship Id="rId83" Type="http://schemas.openxmlformats.org/officeDocument/2006/relationships/hyperlink" Target="https://www.rbi.org.in/Scripts/BS_PressReleaseDisplay.aspx?prid=57637" TargetMode="External"/><Relationship Id="rId88" Type="http://schemas.openxmlformats.org/officeDocument/2006/relationships/hyperlink" Target="https://www.rbi.org.in/scripts/bs_viewcontent.aspx?Id=3220" TargetMode="External"/><Relationship Id="rId91" Type="http://schemas.openxmlformats.org/officeDocument/2006/relationships/hyperlink" Target="https://www.rbi.org.in/Scripts/NotificationUser.aspx?Id=12678&amp;Mode=0" TargetMode="External"/><Relationship Id="rId96" Type="http://schemas.openxmlformats.org/officeDocument/2006/relationships/hyperlink" Target="https://www.rbi.org.in/Scripts/BS_ViewMasDirections.aspx?id=11959" TargetMode="External"/><Relationship Id="rId1" Type="http://schemas.openxmlformats.org/officeDocument/2006/relationships/numbering" Target="numbering.xml"/><Relationship Id="rId6" Type="http://schemas.openxmlformats.org/officeDocument/2006/relationships/hyperlink" Target="https://www.rbi.org.in/Scripts/NotificationUser.aspx?Id=12589&amp;Mode=0" TargetMode="External"/><Relationship Id="rId15" Type="http://schemas.openxmlformats.org/officeDocument/2006/relationships/hyperlink" Target="https://www.rbi.org.in/Scripts/NotificationUser.aspx?Id=12610&amp;Mode=0" TargetMode="External"/><Relationship Id="rId23" Type="http://schemas.openxmlformats.org/officeDocument/2006/relationships/hyperlink" Target="https://rbidocs.rbi.org.in/rdocs/content/pdfs/110MD27022024_A6.pdf" TargetMode="External"/><Relationship Id="rId28" Type="http://schemas.openxmlformats.org/officeDocument/2006/relationships/hyperlink" Target="https://www.rbi.org.in/Scripts/NotificationUser.aspx?Id=12616&amp;Mode=0" TargetMode="External"/><Relationship Id="rId36" Type="http://schemas.openxmlformats.org/officeDocument/2006/relationships/hyperlink" Target="https://www.rbi.org.in/Scripts/NotificationUser.aspx?Id=12645&amp;Mode=0" TargetMode="External"/><Relationship Id="rId49" Type="http://schemas.openxmlformats.org/officeDocument/2006/relationships/hyperlink" Target="https://www.rbi.org.in/Scripts/NotificationUser.aspx?Id=12651&amp;Mode=0" TargetMode="External"/><Relationship Id="rId57" Type="http://schemas.openxmlformats.org/officeDocument/2006/relationships/hyperlink" Target="https://www.rbi.org.in/Scripts/BS_PressReleaseDisplay.aspx?prid=57275" TargetMode="External"/><Relationship Id="rId10" Type="http://schemas.openxmlformats.org/officeDocument/2006/relationships/hyperlink" Target="https://rbi.org.in/Scripts/NotificationUser.aspx?Id=12078&amp;Mode=0" TargetMode="External"/><Relationship Id="rId31" Type="http://schemas.openxmlformats.org/officeDocument/2006/relationships/hyperlink" Target="https://www.rbi.org.in/Scripts/FAQDisplay.aspx?Id=167" TargetMode="External"/><Relationship Id="rId44" Type="http://schemas.openxmlformats.org/officeDocument/2006/relationships/hyperlink" Target="https://mastercirculars.rbi.org.in/" TargetMode="External"/><Relationship Id="rId52" Type="http://schemas.openxmlformats.org/officeDocument/2006/relationships/hyperlink" Target="https://rbi.org.in/Scripts/BS_ViewMasCirculardetails.aspx?id=12472" TargetMode="External"/><Relationship Id="rId60" Type="http://schemas.openxmlformats.org/officeDocument/2006/relationships/hyperlink" Target="https://www.rbi.org.in/Scripts/BS_ViewMasDirections.aspx?id=12427" TargetMode="External"/><Relationship Id="rId65" Type="http://schemas.openxmlformats.org/officeDocument/2006/relationships/hyperlink" Target="https://www.rbi.org.in/Scripts/NotificationUser.aspx?Id=12382&amp;Mode=0" TargetMode="External"/><Relationship Id="rId73" Type="http://schemas.openxmlformats.org/officeDocument/2006/relationships/hyperlink" Target="https://www.rbi.org.in/Scripts/BS_ViewMasDirections.aspx?id=12256" TargetMode="External"/><Relationship Id="rId78" Type="http://schemas.openxmlformats.org/officeDocument/2006/relationships/hyperlink" Target="https://www.rbi.org.in/Scripts/NotificationUser.aspx?Id=12663&amp;Mode=0" TargetMode="External"/><Relationship Id="rId81" Type="http://schemas.openxmlformats.org/officeDocument/2006/relationships/hyperlink" Target="https://www.rbi.org.in/Scripts/NotificationUser.aspx?Id=12664&amp;Mode=0" TargetMode="External"/><Relationship Id="rId86" Type="http://schemas.openxmlformats.org/officeDocument/2006/relationships/hyperlink" Target="https://www.rbi.org.in/Scripts/NotificationUser.aspx?Id=12668&amp;Mode=0" TargetMode="External"/><Relationship Id="rId94" Type="http://schemas.openxmlformats.org/officeDocument/2006/relationships/hyperlink" Target="https://www.rbi.org.in/Scripts/NotificationUser.aspx?Id=12690&amp;Mode=0" TargetMode="External"/><Relationship Id="rId99" Type="http://schemas.openxmlformats.org/officeDocument/2006/relationships/hyperlink" Target="https://www.rbi.org.in/Scripts/NotificationUser.aspx?Id=12694&amp;Mode=0" TargetMode="External"/><Relationship Id="rId101" Type="http://schemas.openxmlformats.org/officeDocument/2006/relationships/hyperlink" Target="https://www.rbi.org.in/Scripts/FAQDisplay.aspx?Id=87"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93&amp;Mode=0" TargetMode="External"/><Relationship Id="rId13" Type="http://schemas.openxmlformats.org/officeDocument/2006/relationships/hyperlink" Target="https://rbi.org.in/Scripts/NotificationUser.aspx?Id=12252&amp;Mode=0" TargetMode="External"/><Relationship Id="rId18" Type="http://schemas.openxmlformats.org/officeDocument/2006/relationships/hyperlink" Target="https://rbidocs.rbi.org.in/rdocs/content/pdfs/110MD27022024_A1.pdf" TargetMode="External"/><Relationship Id="rId39" Type="http://schemas.openxmlformats.org/officeDocument/2006/relationships/hyperlink" Target="https://www.rbi.org.in/Scripts/NotificationUser.aspx?Id=12646&amp;Mode=0" TargetMode="External"/><Relationship Id="rId34" Type="http://schemas.openxmlformats.org/officeDocument/2006/relationships/hyperlink" Target="https://www.rbi.org.in/Scripts/NotificationUser.aspx?Id=12572&amp;Mode=0" TargetMode="External"/><Relationship Id="rId50" Type="http://schemas.openxmlformats.org/officeDocument/2006/relationships/hyperlink" Target="https://www.rbi.org.in/Scripts/NotificationUser.aspx?Id=12653&amp;Mode=0" TargetMode="External"/><Relationship Id="rId55" Type="http://schemas.openxmlformats.org/officeDocument/2006/relationships/hyperlink" Target="https://www.rbi.org.in/Scripts/NotificationUser.aspx?Id=12657&amp;Mode=0" TargetMode="External"/><Relationship Id="rId76" Type="http://schemas.openxmlformats.org/officeDocument/2006/relationships/hyperlink" Target="https://www.rbi.org.in/Scripts/BS_ViewMasDirections.aspx?id=12256" TargetMode="External"/><Relationship Id="rId97" Type="http://schemas.openxmlformats.org/officeDocument/2006/relationships/hyperlink" Target="https://rbi.org.in/Scripts/BS_ViewMasDirections.aspx?id=11060"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27</Pages>
  <Words>8626</Words>
  <Characters>49173</Characters>
  <Application>Microsoft Office Word</Application>
  <DocSecurity>0</DocSecurity>
  <Lines>409</Lines>
  <Paragraphs>115</Paragraphs>
  <ScaleCrop>false</ScaleCrop>
  <Company/>
  <LinksUpToDate>false</LinksUpToDate>
  <CharactersWithSpaces>57684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40</cp:revision>
  <dcterms:created xsi:type="dcterms:W3CDTF">2024-08-26T06:11:00Z</dcterms:created>
  <dcterms:modified xsi:type="dcterms:W3CDTF">2024-08-26T07:01:00Z</dcterms:modified>
</cp:coreProperties>
</file>